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59C" w:rsidRPr="005463C3" w:rsidRDefault="00EE159C" w:rsidP="005463C3">
      <w:pPr>
        <w:keepNext/>
        <w:keepLines/>
        <w:spacing w:after="0" w:line="240" w:lineRule="auto"/>
        <w:jc w:val="right"/>
        <w:outlineLvl w:val="0"/>
        <w:rPr>
          <w:rFonts w:ascii="Times New Roman" w:eastAsia="Times New Roman" w:hAnsi="Times New Roman" w:cs="Times New Roman"/>
          <w:b/>
          <w:bCs/>
          <w:sz w:val="24"/>
          <w:szCs w:val="24"/>
          <w:lang w:eastAsia="lv-LV"/>
        </w:rPr>
      </w:pPr>
      <w:bookmarkStart w:id="0" w:name="_Ref336861954"/>
      <w:bookmarkStart w:id="1" w:name="_Toc432603172"/>
      <w:bookmarkStart w:id="2" w:name="_GoBack"/>
      <w:r w:rsidRPr="005463C3">
        <w:rPr>
          <w:rFonts w:ascii="Times New Roman" w:eastAsia="Times New Roman" w:hAnsi="Times New Roman" w:cs="Times New Roman"/>
          <w:b/>
          <w:bCs/>
          <w:sz w:val="24"/>
          <w:szCs w:val="24"/>
          <w:lang w:eastAsia="lv-LV"/>
        </w:rPr>
        <w:t>1.pielikums</w:t>
      </w:r>
    </w:p>
    <w:p w:rsidR="00EE159C" w:rsidRPr="005463C3" w:rsidRDefault="00EE159C" w:rsidP="005463C3">
      <w:pPr>
        <w:keepNext/>
        <w:keepLines/>
        <w:spacing w:after="0" w:line="240" w:lineRule="auto"/>
        <w:jc w:val="right"/>
        <w:outlineLvl w:val="0"/>
        <w:rPr>
          <w:rFonts w:ascii="Times New Roman" w:eastAsia="Times New Roman" w:hAnsi="Times New Roman" w:cs="Times New Roman"/>
          <w:b/>
          <w:bCs/>
          <w:sz w:val="24"/>
          <w:szCs w:val="24"/>
          <w:lang w:eastAsia="lv-LV"/>
        </w:rPr>
      </w:pPr>
      <w:r w:rsidRPr="005463C3">
        <w:rPr>
          <w:rFonts w:ascii="Times New Roman" w:eastAsia="Times New Roman" w:hAnsi="Times New Roman" w:cs="Times New Roman"/>
          <w:b/>
          <w:bCs/>
          <w:sz w:val="24"/>
          <w:szCs w:val="24"/>
          <w:lang w:eastAsia="lv-LV"/>
        </w:rPr>
        <w:t>atklātā konkursa “</w:t>
      </w:r>
      <w:r w:rsidR="00935331" w:rsidRPr="005463C3">
        <w:rPr>
          <w:rFonts w:ascii="Times New Roman" w:hAnsi="Times New Roman" w:cs="Times New Roman"/>
          <w:b/>
          <w:sz w:val="24"/>
          <w:szCs w:val="24"/>
        </w:rPr>
        <w:t>Multimediju tehnikas nodrošināšana</w:t>
      </w:r>
      <w:r w:rsidRPr="005463C3">
        <w:rPr>
          <w:rFonts w:ascii="Times New Roman" w:eastAsia="Times New Roman" w:hAnsi="Times New Roman" w:cs="Times New Roman"/>
          <w:b/>
          <w:bCs/>
          <w:sz w:val="24"/>
          <w:szCs w:val="24"/>
          <w:lang w:eastAsia="lv-LV"/>
        </w:rPr>
        <w:t xml:space="preserve">”, </w:t>
      </w:r>
    </w:p>
    <w:p w:rsidR="00EE159C" w:rsidRPr="005463C3" w:rsidRDefault="00EE159C" w:rsidP="005463C3">
      <w:pPr>
        <w:keepNext/>
        <w:keepLines/>
        <w:spacing w:after="0" w:line="240" w:lineRule="auto"/>
        <w:jc w:val="right"/>
        <w:outlineLvl w:val="0"/>
        <w:rPr>
          <w:rFonts w:ascii="Times New Roman" w:eastAsia="Times New Roman" w:hAnsi="Times New Roman" w:cs="Times New Roman"/>
          <w:b/>
          <w:bCs/>
          <w:sz w:val="24"/>
          <w:szCs w:val="24"/>
          <w:lang w:eastAsia="lv-LV"/>
        </w:rPr>
      </w:pPr>
      <w:r w:rsidRPr="005463C3">
        <w:rPr>
          <w:rFonts w:ascii="Times New Roman" w:eastAsia="Times New Roman" w:hAnsi="Times New Roman" w:cs="Times New Roman"/>
          <w:b/>
          <w:bCs/>
          <w:sz w:val="24"/>
          <w:szCs w:val="24"/>
          <w:lang w:eastAsia="lv-LV"/>
        </w:rPr>
        <w:t xml:space="preserve">ID </w:t>
      </w:r>
      <w:proofErr w:type="spellStart"/>
      <w:r w:rsidRPr="005463C3">
        <w:rPr>
          <w:rFonts w:ascii="Times New Roman" w:eastAsia="Times New Roman" w:hAnsi="Times New Roman" w:cs="Times New Roman"/>
          <w:b/>
          <w:bCs/>
          <w:sz w:val="24"/>
          <w:szCs w:val="24"/>
          <w:lang w:eastAsia="lv-LV"/>
        </w:rPr>
        <w:t>Nr.RSU-2017</w:t>
      </w:r>
      <w:proofErr w:type="spellEnd"/>
      <w:r w:rsidRPr="005463C3">
        <w:rPr>
          <w:rFonts w:ascii="Times New Roman" w:eastAsia="Times New Roman" w:hAnsi="Times New Roman" w:cs="Times New Roman"/>
          <w:b/>
          <w:bCs/>
          <w:sz w:val="24"/>
          <w:szCs w:val="24"/>
          <w:lang w:eastAsia="lv-LV"/>
        </w:rPr>
        <w:t>/</w:t>
      </w:r>
      <w:r w:rsidR="00935331" w:rsidRPr="005463C3">
        <w:rPr>
          <w:rFonts w:ascii="Times New Roman" w:eastAsia="Times New Roman" w:hAnsi="Times New Roman" w:cs="Times New Roman"/>
          <w:b/>
          <w:bCs/>
          <w:sz w:val="24"/>
          <w:szCs w:val="24"/>
          <w:lang w:eastAsia="lv-LV"/>
        </w:rPr>
        <w:t>79</w:t>
      </w:r>
      <w:r w:rsidRPr="005463C3">
        <w:rPr>
          <w:rFonts w:ascii="Times New Roman" w:eastAsia="Times New Roman" w:hAnsi="Times New Roman" w:cs="Times New Roman"/>
          <w:b/>
          <w:bCs/>
          <w:sz w:val="24"/>
          <w:szCs w:val="24"/>
          <w:lang w:eastAsia="lv-LV"/>
        </w:rPr>
        <w:t>/AFN-AK</w:t>
      </w:r>
    </w:p>
    <w:p w:rsidR="00EE159C" w:rsidRPr="005463C3" w:rsidRDefault="00935331" w:rsidP="005463C3">
      <w:pPr>
        <w:keepNext/>
        <w:keepLines/>
        <w:spacing w:after="0" w:line="240" w:lineRule="auto"/>
        <w:jc w:val="right"/>
        <w:outlineLvl w:val="0"/>
        <w:rPr>
          <w:rFonts w:ascii="Times New Roman" w:eastAsia="Times New Roman" w:hAnsi="Times New Roman" w:cs="Times New Roman"/>
          <w:b/>
          <w:bCs/>
          <w:sz w:val="24"/>
          <w:szCs w:val="24"/>
          <w:lang w:eastAsia="lv-LV"/>
        </w:rPr>
      </w:pPr>
      <w:r w:rsidRPr="005463C3">
        <w:rPr>
          <w:rFonts w:ascii="Times New Roman" w:eastAsia="Times New Roman" w:hAnsi="Times New Roman" w:cs="Times New Roman"/>
          <w:b/>
          <w:bCs/>
          <w:sz w:val="24"/>
          <w:szCs w:val="24"/>
          <w:lang w:eastAsia="lv-LV"/>
        </w:rPr>
        <w:t>27</w:t>
      </w:r>
      <w:r w:rsidR="00EE159C" w:rsidRPr="005463C3">
        <w:rPr>
          <w:rFonts w:ascii="Times New Roman" w:eastAsia="Times New Roman" w:hAnsi="Times New Roman" w:cs="Times New Roman"/>
          <w:b/>
          <w:bCs/>
          <w:sz w:val="24"/>
          <w:szCs w:val="24"/>
          <w:lang w:eastAsia="lv-LV"/>
        </w:rPr>
        <w:t>.</w:t>
      </w:r>
      <w:r w:rsidRPr="005463C3">
        <w:rPr>
          <w:rFonts w:ascii="Times New Roman" w:eastAsia="Times New Roman" w:hAnsi="Times New Roman" w:cs="Times New Roman"/>
          <w:b/>
          <w:bCs/>
          <w:sz w:val="24"/>
          <w:szCs w:val="24"/>
          <w:lang w:eastAsia="lv-LV"/>
        </w:rPr>
        <w:t>11</w:t>
      </w:r>
      <w:r w:rsidR="00EE159C" w:rsidRPr="005463C3">
        <w:rPr>
          <w:rFonts w:ascii="Times New Roman" w:eastAsia="Times New Roman" w:hAnsi="Times New Roman" w:cs="Times New Roman"/>
          <w:b/>
          <w:bCs/>
          <w:sz w:val="24"/>
          <w:szCs w:val="24"/>
          <w:lang w:eastAsia="lv-LV"/>
        </w:rPr>
        <w:t>.2017. gala ziņojumam</w:t>
      </w:r>
    </w:p>
    <w:bookmarkEnd w:id="0"/>
    <w:bookmarkEnd w:id="1"/>
    <w:bookmarkEnd w:id="2"/>
    <w:p w:rsidR="00935331" w:rsidRPr="00935331" w:rsidRDefault="00935331" w:rsidP="00935331">
      <w:pPr>
        <w:pStyle w:val="Heading3"/>
        <w:keepNext/>
        <w:keepLines/>
        <w:spacing w:before="120"/>
        <w:rPr>
          <w:b/>
        </w:rPr>
      </w:pPr>
      <w:r w:rsidRPr="00935331">
        <w:rPr>
          <w:b/>
          <w:shd w:val="clear" w:color="auto" w:fill="FFFFFF"/>
        </w:rPr>
        <w:t>5. PRETENDENTU ATLASES PRASĪBAS UN IESNIEDZAMIE DOKUMENTI</w:t>
      </w:r>
    </w:p>
    <w:p w:rsidR="00935331" w:rsidRPr="00935331" w:rsidRDefault="00935331" w:rsidP="00935331">
      <w:pPr>
        <w:pStyle w:val="Heading3"/>
        <w:keepNext/>
        <w:keepLines/>
        <w:spacing w:before="60" w:after="60"/>
        <w:rPr>
          <w:lang w:eastAsia="lv-LV"/>
        </w:rPr>
      </w:pPr>
      <w:r w:rsidRPr="00935331">
        <w:t xml:space="preserve">5.1. </w:t>
      </w:r>
      <w:r w:rsidRPr="00935331">
        <w:rPr>
          <w:lang w:eastAsia="lv-LV"/>
        </w:rPr>
        <w:t xml:space="preserve">Pretendentu atlases nosacījumi ir obligāti visiem pretendentiem, kas vēlas iegūt tiesības slēgt </w:t>
      </w:r>
      <w:r w:rsidRPr="00935331">
        <w:t>iepirkuma</w:t>
      </w:r>
      <w:r w:rsidRPr="00935331">
        <w:rPr>
          <w:lang w:eastAsia="lv-LV"/>
        </w:rPr>
        <w:t xml:space="preserve"> līgumu. </w:t>
      </w:r>
    </w:p>
    <w:p w:rsidR="00935331" w:rsidRPr="00935331" w:rsidRDefault="00935331" w:rsidP="00935331">
      <w:pPr>
        <w:pStyle w:val="Heading3"/>
        <w:keepNext/>
        <w:keepLines/>
        <w:spacing w:before="60" w:after="60"/>
      </w:pPr>
      <w:r w:rsidRPr="00935331">
        <w:rPr>
          <w:lang w:eastAsia="lv-LV"/>
        </w:rPr>
        <w:t xml:space="preserve">5.2. </w:t>
      </w:r>
      <w:r w:rsidRPr="00935331">
        <w:rPr>
          <w:lang w:val="x-none"/>
        </w:rPr>
        <w:t>Pretendent</w:t>
      </w:r>
      <w:r w:rsidRPr="00935331">
        <w:t>s savam piedāvājumam pievieno</w:t>
      </w:r>
      <w:r w:rsidRPr="00935331">
        <w:rPr>
          <w:lang w:val="x-none"/>
        </w:rPr>
        <w:t xml:space="preserve"> pieteikum</w:t>
      </w:r>
      <w:r w:rsidRPr="00935331">
        <w:t>u</w:t>
      </w:r>
      <w:r w:rsidRPr="00935331">
        <w:rPr>
          <w:lang w:val="x-none"/>
        </w:rPr>
        <w:t xml:space="preserve"> dalībai </w:t>
      </w:r>
      <w:r w:rsidRPr="00935331">
        <w:t xml:space="preserve">Atklātā konkursā (Atklātā konkursa nolikuma 1.pielikums), ko paraksta pretendenta pārstāvis ar pārstāvības tiesībām. Pretendents pievieno amatpersonas ar pārstāvības tiesībām izdotu pilnvaru (oriģinālu vai apliecinātu kopiju) citai personai parakstīt piedāvājumu un iepirkuma līgumu, ja tā atšķiras no LV Uzņēmumu reģistrā norādītās. Kompetentas institūcijas izsniegta izziņa par amatpersonu paraksta tiesībām, ja pretendents ir reģistrēts ārvalstīs. </w:t>
      </w:r>
      <w:r w:rsidRPr="00935331">
        <w:rPr>
          <w:rFonts w:eastAsiaTheme="majorEastAsia"/>
        </w:rPr>
        <w:t>Ja pretendents ir piegādātāju apvienība un sabiedrības līgumā nav atrunātas pārstāvības tiesības, pieteikuma oriģināls jāparaksta katras personas, kas iekļauta piegādātāju apvienībā, pārstāvim ar pārstāvības tiesībām.</w:t>
      </w:r>
    </w:p>
    <w:p w:rsidR="00935331" w:rsidRPr="00935331" w:rsidRDefault="00935331" w:rsidP="00935331">
      <w:pPr>
        <w:pStyle w:val="Heading3"/>
        <w:keepNext/>
        <w:keepLines/>
        <w:spacing w:before="60" w:after="60"/>
        <w:rPr>
          <w:lang w:eastAsia="lv-LV"/>
        </w:rPr>
      </w:pPr>
      <w:r w:rsidRPr="00935331">
        <w:t>5.3. Pretendentam saskaņā ar PIL 49.panta pantu ir tiesības izvēlēties iesniegt Eiropas vienoto iepirkuma procedūras dokumentu</w:t>
      </w:r>
      <w:r w:rsidRPr="00935331">
        <w:rPr>
          <w:rStyle w:val="FootnoteReference"/>
        </w:rPr>
        <w:footnoteReference w:id="1"/>
      </w:r>
      <w:r w:rsidRPr="00935331">
        <w:t>, lai apliecinātu, ka tas atbilst paziņojumā par līgumu vai iepirkuma procedūras dokumentos noteiktajām pretendentu kvalifikācijas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w:t>
      </w:r>
    </w:p>
    <w:p w:rsidR="00935331" w:rsidRPr="00935331" w:rsidRDefault="00935331" w:rsidP="00935331">
      <w:pPr>
        <w:pStyle w:val="Heading3"/>
        <w:keepNext/>
        <w:keepLines/>
        <w:spacing w:before="60" w:after="60"/>
      </w:pPr>
      <w:r w:rsidRPr="00935331">
        <w:t>5.4. Pretendenta kvalifikācijas prasības un iesniedzamie kvalifikācijas dokumenti:</w:t>
      </w:r>
    </w:p>
    <w:tbl>
      <w:tblPr>
        <w:tblStyle w:val="TableGrid4"/>
        <w:tblW w:w="0" w:type="auto"/>
        <w:tblInd w:w="360" w:type="dxa"/>
        <w:tblLook w:val="04A0" w:firstRow="1" w:lastRow="0" w:firstColumn="1" w:lastColumn="0" w:noHBand="0" w:noVBand="1"/>
      </w:tblPr>
      <w:tblGrid>
        <w:gridCol w:w="3978"/>
        <w:gridCol w:w="4184"/>
      </w:tblGrid>
      <w:tr w:rsidR="00935331" w:rsidRPr="00935331" w:rsidTr="00C0797B">
        <w:tc>
          <w:tcPr>
            <w:tcW w:w="4649" w:type="dxa"/>
          </w:tcPr>
          <w:p w:rsidR="00935331" w:rsidRPr="00935331" w:rsidRDefault="00935331" w:rsidP="00935331">
            <w:pPr>
              <w:keepNext/>
              <w:keepLines/>
              <w:widowControl w:val="0"/>
              <w:spacing w:before="60" w:after="60"/>
              <w:jc w:val="both"/>
              <w:rPr>
                <w:sz w:val="24"/>
                <w:szCs w:val="24"/>
                <w:lang w:eastAsia="x-none"/>
              </w:rPr>
            </w:pPr>
            <w:r w:rsidRPr="00935331">
              <w:rPr>
                <w:sz w:val="24"/>
                <w:szCs w:val="24"/>
                <w:lang w:eastAsia="x-none"/>
              </w:rPr>
              <w:t>Kvalifikācijas prasības</w:t>
            </w:r>
          </w:p>
        </w:tc>
        <w:tc>
          <w:tcPr>
            <w:tcW w:w="4676" w:type="dxa"/>
          </w:tcPr>
          <w:p w:rsidR="00935331" w:rsidRPr="00935331" w:rsidRDefault="00935331" w:rsidP="00935331">
            <w:pPr>
              <w:keepNext/>
              <w:keepLines/>
              <w:widowControl w:val="0"/>
              <w:spacing w:before="60" w:after="60"/>
              <w:jc w:val="both"/>
              <w:rPr>
                <w:sz w:val="24"/>
                <w:szCs w:val="24"/>
                <w:lang w:eastAsia="x-none"/>
              </w:rPr>
            </w:pPr>
            <w:r w:rsidRPr="00935331">
              <w:rPr>
                <w:sz w:val="24"/>
                <w:szCs w:val="24"/>
                <w:lang w:eastAsia="x-none"/>
              </w:rPr>
              <w:t>Pretendentu iesniedzamie kvalifikācijas dokumenti</w:t>
            </w:r>
          </w:p>
        </w:tc>
      </w:tr>
      <w:tr w:rsidR="00935331" w:rsidRPr="00935331" w:rsidTr="00C0797B">
        <w:tc>
          <w:tcPr>
            <w:tcW w:w="4649" w:type="dxa"/>
          </w:tcPr>
          <w:p w:rsidR="00935331" w:rsidRPr="00935331" w:rsidRDefault="00935331" w:rsidP="00935331">
            <w:pPr>
              <w:keepNext/>
              <w:keepLines/>
              <w:widowControl w:val="0"/>
              <w:spacing w:before="60" w:after="60"/>
              <w:jc w:val="both"/>
              <w:rPr>
                <w:sz w:val="24"/>
                <w:szCs w:val="24"/>
              </w:rPr>
            </w:pPr>
            <w:r w:rsidRPr="00935331">
              <w:rPr>
                <w:sz w:val="24"/>
                <w:szCs w:val="24"/>
              </w:rPr>
              <w:t>5.4.1. Pretendents ir reģistrēts, licencēts vai sertificēts atbilstoši attiecīgās valsts normatīvo aktu prasībām (LV Uzņēmumu reģistra Komercreģistrā vai līdzvērtīgā reģistrā ārvalstīs).</w:t>
            </w:r>
          </w:p>
        </w:tc>
        <w:tc>
          <w:tcPr>
            <w:tcW w:w="4676" w:type="dxa"/>
          </w:tcPr>
          <w:p w:rsidR="00935331" w:rsidRPr="00935331" w:rsidRDefault="00935331" w:rsidP="00935331">
            <w:pPr>
              <w:pStyle w:val="Heading4"/>
              <w:spacing w:before="60" w:after="60"/>
              <w:jc w:val="both"/>
              <w:outlineLvl w:val="3"/>
              <w:rPr>
                <w:rFonts w:ascii="Times New Roman" w:hAnsi="Times New Roman" w:cs="Times New Roman"/>
                <w:b w:val="0"/>
                <w:i w:val="0"/>
                <w:color w:val="auto"/>
                <w:sz w:val="24"/>
                <w:szCs w:val="24"/>
              </w:rPr>
            </w:pPr>
            <w:r w:rsidRPr="00935331">
              <w:rPr>
                <w:rFonts w:ascii="Times New Roman" w:hAnsi="Times New Roman" w:cs="Times New Roman"/>
                <w:b w:val="0"/>
                <w:i w:val="0"/>
                <w:color w:val="auto"/>
                <w:sz w:val="24"/>
                <w:szCs w:val="24"/>
              </w:rPr>
              <w:t xml:space="preserve">5.4.1.1. Iepirkuma komisija pārbauda informāciju par pretendentu, kurš ir reģistrēts LV Uzņēmumu reģistra Komercreģistrā </w:t>
            </w:r>
            <w:proofErr w:type="spellStart"/>
            <w:r w:rsidRPr="00935331">
              <w:rPr>
                <w:rFonts w:ascii="Times New Roman" w:hAnsi="Times New Roman" w:cs="Times New Roman"/>
                <w:b w:val="0"/>
                <w:i w:val="0"/>
                <w:color w:val="auto"/>
                <w:sz w:val="24"/>
                <w:szCs w:val="24"/>
              </w:rPr>
              <w:t>mājaslapā</w:t>
            </w:r>
            <w:proofErr w:type="spellEnd"/>
            <w:r w:rsidRPr="00935331">
              <w:rPr>
                <w:rFonts w:ascii="Times New Roman" w:hAnsi="Times New Roman" w:cs="Times New Roman"/>
                <w:b w:val="0"/>
                <w:i w:val="0"/>
                <w:color w:val="auto"/>
                <w:sz w:val="24"/>
                <w:szCs w:val="24"/>
              </w:rPr>
              <w:t xml:space="preserve"> (</w:t>
            </w:r>
            <w:hyperlink r:id="rId8" w:history="1">
              <w:r w:rsidRPr="00935331">
                <w:rPr>
                  <w:rStyle w:val="Hyperlink"/>
                  <w:rFonts w:ascii="Times New Roman" w:hAnsi="Times New Roman" w:cs="Times New Roman"/>
                  <w:b w:val="0"/>
                  <w:i w:val="0"/>
                  <w:color w:val="auto"/>
                  <w:sz w:val="24"/>
                  <w:szCs w:val="24"/>
                </w:rPr>
                <w:t>http://www.ur.gov.lv/</w:t>
              </w:r>
            </w:hyperlink>
            <w:r w:rsidRPr="00935331">
              <w:rPr>
                <w:rFonts w:ascii="Times New Roman" w:hAnsi="Times New Roman" w:cs="Times New Roman"/>
                <w:b w:val="0"/>
                <w:i w:val="0"/>
                <w:color w:val="auto"/>
                <w:sz w:val="24"/>
                <w:szCs w:val="24"/>
              </w:rPr>
              <w:t>).</w:t>
            </w:r>
          </w:p>
          <w:p w:rsidR="00935331" w:rsidRPr="00935331" w:rsidRDefault="00935331" w:rsidP="00935331">
            <w:pPr>
              <w:keepNext/>
              <w:keepLines/>
              <w:widowControl w:val="0"/>
              <w:tabs>
                <w:tab w:val="left" w:pos="1601"/>
              </w:tabs>
              <w:spacing w:before="60" w:after="60"/>
              <w:ind w:left="33" w:hanging="33"/>
              <w:jc w:val="both"/>
              <w:rPr>
                <w:sz w:val="24"/>
                <w:szCs w:val="24"/>
              </w:rPr>
            </w:pPr>
            <w:r w:rsidRPr="00935331">
              <w:rPr>
                <w:sz w:val="24"/>
                <w:szCs w:val="24"/>
              </w:rPr>
              <w:t>5.4.1.2. Pretendents, kurš nav reģistrēts LV Uzņēmumu reģistra Komercreģistrā iesniedz komercdarbību reģistrējošas iestādes ārvalstīs izdotu reģistrācijas apliecības kopiju.</w:t>
            </w:r>
          </w:p>
        </w:tc>
      </w:tr>
      <w:tr w:rsidR="00935331" w:rsidRPr="00935331" w:rsidTr="00C0797B">
        <w:tc>
          <w:tcPr>
            <w:tcW w:w="4649" w:type="dxa"/>
          </w:tcPr>
          <w:p w:rsidR="00935331" w:rsidRPr="00935331" w:rsidRDefault="00935331" w:rsidP="00935331">
            <w:pPr>
              <w:keepNext/>
              <w:keepLines/>
              <w:widowControl w:val="0"/>
              <w:spacing w:before="60" w:after="60"/>
              <w:jc w:val="both"/>
              <w:rPr>
                <w:rFonts w:eastAsia="Calibri"/>
                <w:sz w:val="24"/>
                <w:szCs w:val="24"/>
              </w:rPr>
            </w:pPr>
            <w:r w:rsidRPr="00935331">
              <w:rPr>
                <w:rFonts w:eastAsia="Calibri"/>
                <w:sz w:val="24"/>
                <w:szCs w:val="24"/>
              </w:rPr>
              <w:t xml:space="preserve">5.4.3. </w:t>
            </w:r>
            <w:r w:rsidRPr="00935331">
              <w:rPr>
                <w:sz w:val="24"/>
                <w:szCs w:val="24"/>
              </w:rPr>
              <w:t xml:space="preserve">Pretendentam pēdējo 3 (trīs) gadu laikā (2014., 2015., 2016.gadā, kā arī 2017.gadā laika periodā līdz </w:t>
            </w:r>
            <w:r w:rsidRPr="00935331">
              <w:rPr>
                <w:sz w:val="24"/>
                <w:szCs w:val="24"/>
              </w:rPr>
              <w:lastRenderedPageBreak/>
              <w:t xml:space="preserve">piedāvājuma iesniegšanas dienai) ir pieredze vismaz 3 (trīs) līdzvērtīgu </w:t>
            </w:r>
            <w:r w:rsidRPr="00935331">
              <w:rPr>
                <w:sz w:val="24"/>
                <w:szCs w:val="24"/>
                <w:u w:val="single"/>
              </w:rPr>
              <w:t>pēc satura</w:t>
            </w:r>
            <w:r w:rsidRPr="00935331">
              <w:rPr>
                <w:sz w:val="24"/>
                <w:szCs w:val="24"/>
              </w:rPr>
              <w:t xml:space="preserve"> (par līdzvērtīgiem tiks uzskatīta multimediju tehnikas piegāde un uzstādīšana vai apkope (attiecīgi) atbilstoši 2.2.punktā norādītajiem CPV kodiem pakalpojuma sniegšanā.</w:t>
            </w:r>
          </w:p>
        </w:tc>
        <w:tc>
          <w:tcPr>
            <w:tcW w:w="4676" w:type="dxa"/>
          </w:tcPr>
          <w:p w:rsidR="00935331" w:rsidRPr="00935331" w:rsidRDefault="00935331" w:rsidP="00935331">
            <w:pPr>
              <w:keepNext/>
              <w:keepLines/>
              <w:widowControl w:val="0"/>
              <w:spacing w:before="60" w:after="60"/>
              <w:jc w:val="both"/>
              <w:rPr>
                <w:rFonts w:eastAsia="Calibri"/>
                <w:sz w:val="24"/>
                <w:szCs w:val="24"/>
              </w:rPr>
            </w:pPr>
            <w:r w:rsidRPr="00935331">
              <w:rPr>
                <w:rFonts w:eastAsia="Calibri"/>
                <w:sz w:val="24"/>
                <w:szCs w:val="24"/>
              </w:rPr>
              <w:lastRenderedPageBreak/>
              <w:t xml:space="preserve">5.4.3.1. </w:t>
            </w:r>
            <w:r w:rsidRPr="00935331">
              <w:rPr>
                <w:sz w:val="24"/>
                <w:szCs w:val="24"/>
              </w:rPr>
              <w:t xml:space="preserve">Saraksts par pretendenta pieredzi līdzvērtīgo pakalpojumu sniegšanā, atbilstoši Atklāta konkursa nolikuma </w:t>
            </w:r>
            <w:r w:rsidRPr="00935331">
              <w:rPr>
                <w:sz w:val="24"/>
                <w:szCs w:val="24"/>
              </w:rPr>
              <w:lastRenderedPageBreak/>
              <w:t>5.4.3.punkta prasībām (Atklātā konkursa nolikuma 3.pielikums)</w:t>
            </w:r>
          </w:p>
        </w:tc>
      </w:tr>
      <w:tr w:rsidR="00935331" w:rsidRPr="00935331" w:rsidTr="00C0797B">
        <w:tc>
          <w:tcPr>
            <w:tcW w:w="4649" w:type="dxa"/>
          </w:tcPr>
          <w:p w:rsidR="00935331" w:rsidRPr="00935331" w:rsidRDefault="00935331" w:rsidP="00935331">
            <w:pPr>
              <w:keepNext/>
              <w:keepLines/>
              <w:widowControl w:val="0"/>
              <w:spacing w:before="60" w:after="60"/>
              <w:jc w:val="both"/>
              <w:rPr>
                <w:sz w:val="24"/>
                <w:szCs w:val="24"/>
              </w:rPr>
            </w:pPr>
            <w:r w:rsidRPr="00935331">
              <w:rPr>
                <w:sz w:val="24"/>
                <w:szCs w:val="24"/>
              </w:rPr>
              <w:lastRenderedPageBreak/>
              <w:t xml:space="preserve">5.4.4. </w:t>
            </w:r>
            <w:r w:rsidRPr="00935331">
              <w:rPr>
                <w:bCs/>
                <w:iCs/>
                <w:sz w:val="24"/>
                <w:szCs w:val="24"/>
              </w:rPr>
              <w:t>Pretendents ir piedāvātās projekcijas aparatūras ražotāja autorizēts pārstāvis, kuram ir tiesības piegādāt un instalēt piedāvāto aparatūru, nodrošināt garantijas servisu un apkalpošanu garantijas laikā.</w:t>
            </w:r>
          </w:p>
        </w:tc>
        <w:tc>
          <w:tcPr>
            <w:tcW w:w="4676" w:type="dxa"/>
            <w:shd w:val="clear" w:color="auto" w:fill="auto"/>
          </w:tcPr>
          <w:p w:rsidR="00935331" w:rsidRPr="00935331" w:rsidRDefault="00935331" w:rsidP="00935331">
            <w:pPr>
              <w:keepNext/>
              <w:keepLines/>
              <w:widowControl w:val="0"/>
              <w:spacing w:before="60" w:after="60"/>
              <w:jc w:val="both"/>
              <w:rPr>
                <w:sz w:val="24"/>
                <w:szCs w:val="24"/>
              </w:rPr>
            </w:pPr>
            <w:r w:rsidRPr="00935331">
              <w:rPr>
                <w:sz w:val="24"/>
                <w:szCs w:val="24"/>
              </w:rPr>
              <w:t xml:space="preserve">5.4.4.1. </w:t>
            </w:r>
            <w:r w:rsidRPr="00935331">
              <w:rPr>
                <w:bCs/>
                <w:iCs/>
                <w:sz w:val="24"/>
                <w:szCs w:val="24"/>
              </w:rPr>
              <w:t>Piedāvājumā iekļautās projekcijas aparatūras ražotāja autorizāciju apliecinoša dokumenta kopija, kas apliecina pretendenta tiesības piegādāt un instalēt piedāvāto aparatūru, nodrošināt garantijas servisu un apkalpošanu garantijas laikā.</w:t>
            </w:r>
            <w:r w:rsidRPr="00935331">
              <w:rPr>
                <w:sz w:val="24"/>
                <w:szCs w:val="24"/>
              </w:rPr>
              <w:t>.</w:t>
            </w:r>
          </w:p>
        </w:tc>
      </w:tr>
      <w:tr w:rsidR="00935331" w:rsidRPr="00935331" w:rsidTr="00C0797B">
        <w:trPr>
          <w:trHeight w:val="1408"/>
        </w:trPr>
        <w:tc>
          <w:tcPr>
            <w:tcW w:w="4649" w:type="dxa"/>
          </w:tcPr>
          <w:p w:rsidR="00935331" w:rsidRPr="00935331" w:rsidRDefault="00935331" w:rsidP="00935331">
            <w:pPr>
              <w:keepNext/>
              <w:keepLines/>
              <w:widowControl w:val="0"/>
              <w:spacing w:before="60" w:after="60"/>
              <w:jc w:val="both"/>
              <w:rPr>
                <w:bCs/>
                <w:iCs/>
                <w:sz w:val="24"/>
                <w:szCs w:val="24"/>
              </w:rPr>
            </w:pPr>
            <w:r w:rsidRPr="00935331">
              <w:rPr>
                <w:sz w:val="24"/>
                <w:szCs w:val="24"/>
              </w:rPr>
              <w:t xml:space="preserve">5.4.5. </w:t>
            </w:r>
            <w:r w:rsidRPr="00935331">
              <w:rPr>
                <w:bCs/>
                <w:iCs/>
                <w:sz w:val="24"/>
                <w:szCs w:val="24"/>
              </w:rPr>
              <w:t xml:space="preserve">Pretendenta rīcībā ir atbilstoši resursi preces piegādei un uzstādīšanai, tai skaitā sertificēti speciālisti ar atbilstošu profesionālo kvalifikāciju, tai skaitā </w:t>
            </w:r>
            <w:r w:rsidRPr="00935331">
              <w:rPr>
                <w:sz w:val="24"/>
                <w:szCs w:val="24"/>
                <w:lang w:val="x-none"/>
              </w:rPr>
              <w:t xml:space="preserve">vismaz </w:t>
            </w:r>
            <w:r w:rsidRPr="00935331">
              <w:rPr>
                <w:sz w:val="24"/>
                <w:szCs w:val="24"/>
              </w:rPr>
              <w:t xml:space="preserve">1 (viens) </w:t>
            </w:r>
            <w:r w:rsidRPr="00935331">
              <w:rPr>
                <w:sz w:val="24"/>
                <w:szCs w:val="24"/>
                <w:lang w:val="x-none"/>
              </w:rPr>
              <w:t>sertificēt</w:t>
            </w:r>
            <w:r w:rsidRPr="00935331">
              <w:rPr>
                <w:sz w:val="24"/>
                <w:szCs w:val="24"/>
              </w:rPr>
              <w:t xml:space="preserve">s </w:t>
            </w:r>
            <w:r w:rsidRPr="00935331">
              <w:rPr>
                <w:sz w:val="24"/>
                <w:szCs w:val="24"/>
                <w:lang w:val="x-none"/>
              </w:rPr>
              <w:t>speciālist</w:t>
            </w:r>
            <w:r w:rsidRPr="00935331">
              <w:rPr>
                <w:sz w:val="24"/>
                <w:szCs w:val="24"/>
              </w:rPr>
              <w:t xml:space="preserve">s </w:t>
            </w:r>
            <w:r w:rsidRPr="00935331">
              <w:rPr>
                <w:sz w:val="24"/>
                <w:szCs w:val="24"/>
                <w:lang w:val="x-none"/>
              </w:rPr>
              <w:t>piedāvājumā iekļaut</w:t>
            </w:r>
            <w:r w:rsidRPr="00935331">
              <w:rPr>
                <w:sz w:val="24"/>
                <w:szCs w:val="24"/>
              </w:rPr>
              <w:t xml:space="preserve">o iekārtu uzstādīšanai </w:t>
            </w:r>
            <w:r w:rsidRPr="00935331">
              <w:rPr>
                <w:sz w:val="24"/>
                <w:szCs w:val="24"/>
                <w:lang w:val="x-none"/>
              </w:rPr>
              <w:t>un uzturēšan</w:t>
            </w:r>
            <w:r w:rsidRPr="00935331">
              <w:rPr>
                <w:sz w:val="24"/>
                <w:szCs w:val="24"/>
              </w:rPr>
              <w:t xml:space="preserve">ai ar </w:t>
            </w:r>
            <w:r w:rsidRPr="00935331">
              <w:rPr>
                <w:sz w:val="24"/>
                <w:szCs w:val="24"/>
                <w:lang w:eastAsia="ar-SA"/>
              </w:rPr>
              <w:t>ražotāja vai ražotāja akreditēta mācību centra izsniegtu Speciālista sertifikātu (vai apliecinājumu) ar atsauci uz vismaz vienu no piedāvājumā norādītajiem šādiem iekārtu modeļiem (modeļu sēriju): projektori, video komutācijas iekārtas, vadības sistēma (paneļi ar programmu).</w:t>
            </w:r>
          </w:p>
        </w:tc>
        <w:tc>
          <w:tcPr>
            <w:tcW w:w="4676" w:type="dxa"/>
            <w:shd w:val="clear" w:color="auto" w:fill="auto"/>
          </w:tcPr>
          <w:p w:rsidR="00935331" w:rsidRPr="00935331" w:rsidRDefault="00935331" w:rsidP="00935331">
            <w:pPr>
              <w:keepNext/>
              <w:keepLines/>
              <w:widowControl w:val="0"/>
              <w:spacing w:before="60" w:after="60"/>
              <w:jc w:val="both"/>
              <w:rPr>
                <w:sz w:val="24"/>
                <w:szCs w:val="24"/>
                <w:lang w:eastAsia="ar-SA"/>
              </w:rPr>
            </w:pPr>
            <w:r w:rsidRPr="00935331">
              <w:rPr>
                <w:sz w:val="24"/>
                <w:szCs w:val="24"/>
              </w:rPr>
              <w:t>5.4.5.1. R</w:t>
            </w:r>
            <w:r w:rsidRPr="00935331">
              <w:rPr>
                <w:sz w:val="24"/>
                <w:szCs w:val="24"/>
                <w:lang w:eastAsia="ar-SA"/>
              </w:rPr>
              <w:t>ažotāja vai ražotāja akreditēta mācību centra izsniegta Speciālista sertifikāta kopija (vai apliecinājumu) ar atsauci uz vismaz vienu no piedāvājumā norādītajiem iekārtu modeļiem.</w:t>
            </w:r>
          </w:p>
          <w:p w:rsidR="00935331" w:rsidRPr="00935331" w:rsidRDefault="00935331" w:rsidP="00935331">
            <w:pPr>
              <w:keepNext/>
              <w:keepLines/>
              <w:widowControl w:val="0"/>
              <w:spacing w:before="60" w:after="60"/>
              <w:jc w:val="both"/>
              <w:rPr>
                <w:sz w:val="24"/>
                <w:szCs w:val="24"/>
              </w:rPr>
            </w:pPr>
            <w:r w:rsidRPr="00935331">
              <w:rPr>
                <w:sz w:val="24"/>
                <w:szCs w:val="24"/>
                <w:lang w:eastAsia="ar-SA"/>
              </w:rPr>
              <w:t xml:space="preserve">5.4.5.2. </w:t>
            </w:r>
            <w:r w:rsidRPr="00935331">
              <w:rPr>
                <w:sz w:val="24"/>
                <w:szCs w:val="24"/>
              </w:rPr>
              <w:t>Piesaistīto speciālistu parakstīti pieejamības apliecinājumi (brīvā formā), vai cita dokumentācija, kas apliecina, ka speciālists konkrētā līguma izpildei ir pieejams un gatavs veikt piedāvājumā iekļauto iekārtu uzstādīšanas darbus.</w:t>
            </w:r>
          </w:p>
          <w:p w:rsidR="00935331" w:rsidRPr="00935331" w:rsidRDefault="00935331" w:rsidP="00935331">
            <w:pPr>
              <w:keepNext/>
              <w:keepLines/>
              <w:widowControl w:val="0"/>
              <w:spacing w:before="60" w:after="60"/>
              <w:jc w:val="both"/>
              <w:rPr>
                <w:sz w:val="24"/>
                <w:szCs w:val="24"/>
                <w:lang w:eastAsia="ar-SA"/>
              </w:rPr>
            </w:pPr>
            <w:r w:rsidRPr="00935331">
              <w:rPr>
                <w:sz w:val="24"/>
                <w:szCs w:val="24"/>
              </w:rPr>
              <w:t>5.4.5.3.Pretendenta apliecinājums (brīvā formā) par to, ka tam līguma izpildē tiks iesaistīti ne mazāk kā 1 (viens) speciālists, kas nodrošinās piedāvātās aparatūras uzstādīšanu un sistēmas tehnisko atbalstu garantijas laikā.</w:t>
            </w:r>
          </w:p>
        </w:tc>
      </w:tr>
    </w:tbl>
    <w:p w:rsidR="00935331" w:rsidRPr="00935331" w:rsidRDefault="00935331" w:rsidP="00935331">
      <w:pPr>
        <w:keepNext/>
        <w:keepLines/>
        <w:widowControl w:val="0"/>
        <w:suppressAutoHyphens/>
        <w:autoSpaceDN w:val="0"/>
        <w:spacing w:before="60" w:after="60"/>
        <w:jc w:val="both"/>
        <w:textAlignment w:val="baseline"/>
        <w:rPr>
          <w:rFonts w:ascii="Times New Roman" w:hAnsi="Times New Roman" w:cs="Times New Roman"/>
          <w:sz w:val="24"/>
          <w:szCs w:val="24"/>
        </w:rPr>
      </w:pPr>
      <w:r w:rsidRPr="00935331">
        <w:rPr>
          <w:rFonts w:ascii="Times New Roman" w:hAnsi="Times New Roman" w:cs="Times New Roman"/>
          <w:sz w:val="24"/>
          <w:szCs w:val="24"/>
        </w:rPr>
        <w:t>5.5. Izziņas un citus dokumentus, kurus PIL noteiktajos gadījumos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rsidR="00534BE9" w:rsidRPr="00935331" w:rsidRDefault="005463C3" w:rsidP="00935331">
      <w:pPr>
        <w:keepNext/>
        <w:keepLines/>
        <w:spacing w:before="120" w:after="120" w:line="240" w:lineRule="auto"/>
        <w:jc w:val="both"/>
        <w:outlineLvl w:val="0"/>
        <w:rPr>
          <w:rFonts w:ascii="Times New Roman" w:hAnsi="Times New Roman" w:cs="Times New Roman"/>
          <w:sz w:val="24"/>
          <w:szCs w:val="24"/>
        </w:rPr>
      </w:pPr>
    </w:p>
    <w:sectPr w:rsidR="00534BE9" w:rsidRPr="009353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331" w:rsidRDefault="00935331" w:rsidP="00935331">
      <w:pPr>
        <w:spacing w:after="0" w:line="240" w:lineRule="auto"/>
      </w:pPr>
      <w:r>
        <w:separator/>
      </w:r>
    </w:p>
  </w:endnote>
  <w:endnote w:type="continuationSeparator" w:id="0">
    <w:p w:rsidR="00935331" w:rsidRDefault="00935331" w:rsidP="00935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331" w:rsidRDefault="00935331" w:rsidP="00935331">
      <w:pPr>
        <w:spacing w:after="0" w:line="240" w:lineRule="auto"/>
      </w:pPr>
      <w:r>
        <w:separator/>
      </w:r>
    </w:p>
  </w:footnote>
  <w:footnote w:type="continuationSeparator" w:id="0">
    <w:p w:rsidR="00935331" w:rsidRDefault="00935331" w:rsidP="00935331">
      <w:pPr>
        <w:spacing w:after="0" w:line="240" w:lineRule="auto"/>
      </w:pPr>
      <w:r>
        <w:continuationSeparator/>
      </w:r>
    </w:p>
  </w:footnote>
  <w:footnote w:id="1">
    <w:p w:rsidR="00935331" w:rsidRDefault="00935331" w:rsidP="00935331">
      <w:pPr>
        <w:pStyle w:val="FootnoteText"/>
        <w:rPr>
          <w:i/>
        </w:rPr>
      </w:pPr>
      <w:r>
        <w:rPr>
          <w:rStyle w:val="FootnoteReference"/>
        </w:rPr>
        <w:footnoteRef/>
      </w:r>
      <w:r>
        <w:t xml:space="preserve"> </w:t>
      </w:r>
      <w:r w:rsidRPr="00D5007B">
        <w:rPr>
          <w:i/>
        </w:rPr>
        <w:t xml:space="preserve">Eiropas vienotā iepirkuma procedūras dokumenta veidlapu paraugus nosaka Eiropas Komisijas 2016.gada 5.janvāra Īstenošanas regula 2016/7, ar ko nosaka standarta veidlapu Eiropas vienotajam </w:t>
      </w:r>
      <w:r>
        <w:rPr>
          <w:i/>
        </w:rPr>
        <w:t xml:space="preserve">iepirkuma procedūras dokumentam. Dokumenta veidlapa ir pieejama </w:t>
      </w:r>
      <w:hyperlink r:id="rId1" w:history="1">
        <w:r w:rsidRPr="00E5469C">
          <w:rPr>
            <w:rStyle w:val="Hyperlink"/>
            <w:i/>
          </w:rPr>
          <w:t>https://ec.europa.eu/growth/tools-databases/espd/filter?lang=lv</w:t>
        </w:r>
      </w:hyperlink>
      <w:r>
        <w:rPr>
          <w:i/>
        </w:rPr>
        <w:t>.</w:t>
      </w:r>
    </w:p>
    <w:p w:rsidR="00935331" w:rsidRDefault="00935331" w:rsidP="0093533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25D8D"/>
    <w:multiLevelType w:val="multilevel"/>
    <w:tmpl w:val="A0EE5A32"/>
    <w:lvl w:ilvl="0">
      <w:start w:val="1"/>
      <w:numFmt w:val="decimal"/>
      <w:pStyle w:val="Heading1"/>
      <w:lvlText w:val="%1."/>
      <w:lvlJc w:val="left"/>
      <w:pPr>
        <w:ind w:left="432" w:hanging="432"/>
      </w:pPr>
      <w:rPr>
        <w:rFonts w:ascii="Times New Roman" w:eastAsia="Times New Roman" w:hAnsi="Times New Roman" w:cs="Times New Roman"/>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4EEF736C"/>
    <w:multiLevelType w:val="multilevel"/>
    <w:tmpl w:val="67E2DE9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7AB40ED2"/>
    <w:multiLevelType w:val="multilevel"/>
    <w:tmpl w:val="2A904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59C"/>
    <w:rsid w:val="003F1297"/>
    <w:rsid w:val="005463C3"/>
    <w:rsid w:val="00935331"/>
    <w:rsid w:val="009F7FA6"/>
    <w:rsid w:val="00DD75D4"/>
    <w:rsid w:val="00EE15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F7FA6"/>
    <w:pPr>
      <w:numPr>
        <w:numId w:val="2"/>
      </w:numPr>
      <w:spacing w:before="120" w:after="120" w:line="240" w:lineRule="auto"/>
      <w:jc w:val="both"/>
      <w:outlineLvl w:val="0"/>
    </w:pPr>
    <w:rPr>
      <w:rFonts w:ascii="Times New Roman" w:eastAsia="Times New Roman" w:hAnsi="Times New Roman" w:cs="Times New Roman"/>
      <w:b/>
      <w:bCs/>
      <w:sz w:val="24"/>
      <w:szCs w:val="24"/>
      <w:lang w:eastAsia="lv-LV"/>
    </w:rPr>
  </w:style>
  <w:style w:type="paragraph" w:styleId="Heading2">
    <w:name w:val="heading 2"/>
    <w:basedOn w:val="Normal"/>
    <w:next w:val="Normal"/>
    <w:link w:val="Heading2Char"/>
    <w:uiPriority w:val="9"/>
    <w:semiHidden/>
    <w:unhideWhenUsed/>
    <w:qFormat/>
    <w:rsid w:val="009F7F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autoRedefine/>
    <w:uiPriority w:val="9"/>
    <w:qFormat/>
    <w:rsid w:val="009F7FA6"/>
    <w:pPr>
      <w:tabs>
        <w:tab w:val="left" w:pos="0"/>
      </w:tabs>
      <w:spacing w:after="0" w:line="240" w:lineRule="atLeast"/>
      <w:jc w:val="both"/>
      <w:textAlignment w:val="baseline"/>
      <w:outlineLvl w:val="2"/>
    </w:pPr>
    <w:rPr>
      <w:rFonts w:ascii="Times New Roman" w:eastAsia="Calibri" w:hAnsi="Times New Roman" w:cs="Times New Roman"/>
      <w:bCs/>
      <w:sz w:val="24"/>
      <w:szCs w:val="24"/>
    </w:rPr>
  </w:style>
  <w:style w:type="paragraph" w:styleId="Heading4">
    <w:name w:val="heading 4"/>
    <w:basedOn w:val="Normal"/>
    <w:next w:val="Normal"/>
    <w:link w:val="Heading4Char"/>
    <w:uiPriority w:val="9"/>
    <w:semiHidden/>
    <w:unhideWhenUsed/>
    <w:qFormat/>
    <w:rsid w:val="009353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autoRedefine/>
    <w:unhideWhenUsed/>
    <w:qFormat/>
    <w:rsid w:val="009F7FA6"/>
    <w:pPr>
      <w:numPr>
        <w:ilvl w:val="4"/>
        <w:numId w:val="2"/>
      </w:numPr>
      <w:spacing w:after="0" w:line="240" w:lineRule="auto"/>
      <w:jc w:val="both"/>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9F7FA6"/>
    <w:pPr>
      <w:keepNext/>
      <w:keepLines/>
      <w:numPr>
        <w:ilvl w:val="5"/>
        <w:numId w:val="2"/>
      </w:numPr>
      <w:spacing w:before="200" w:after="0" w:line="240" w:lineRule="auto"/>
      <w:jc w:val="both"/>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nhideWhenUsed/>
    <w:qFormat/>
    <w:rsid w:val="009F7FA6"/>
    <w:pPr>
      <w:keepNext/>
      <w:keepLines/>
      <w:numPr>
        <w:ilvl w:val="6"/>
        <w:numId w:val="2"/>
      </w:numPr>
      <w:spacing w:before="200" w:after="0" w:line="240" w:lineRule="auto"/>
      <w:jc w:val="both"/>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nhideWhenUsed/>
    <w:qFormat/>
    <w:rsid w:val="009F7FA6"/>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9F7FA6"/>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E159C"/>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rsid w:val="009F7FA6"/>
    <w:rPr>
      <w:rFonts w:ascii="Times New Roman" w:eastAsia="Times New Roman" w:hAnsi="Times New Roman" w:cs="Times New Roman"/>
      <w:b/>
      <w:bCs/>
      <w:sz w:val="24"/>
      <w:szCs w:val="24"/>
      <w:lang w:eastAsia="lv-LV"/>
    </w:rPr>
  </w:style>
  <w:style w:type="character" w:customStyle="1" w:styleId="Heading3Char">
    <w:name w:val="Heading 3 Char"/>
    <w:basedOn w:val="DefaultParagraphFont"/>
    <w:link w:val="Heading3"/>
    <w:uiPriority w:val="9"/>
    <w:rsid w:val="009F7FA6"/>
    <w:rPr>
      <w:rFonts w:ascii="Times New Roman" w:eastAsia="Calibri" w:hAnsi="Times New Roman" w:cs="Times New Roman"/>
      <w:bCs/>
      <w:sz w:val="24"/>
      <w:szCs w:val="24"/>
    </w:rPr>
  </w:style>
  <w:style w:type="character" w:customStyle="1" w:styleId="Heading5Char">
    <w:name w:val="Heading 5 Char"/>
    <w:basedOn w:val="DefaultParagraphFont"/>
    <w:link w:val="Heading5"/>
    <w:rsid w:val="009F7FA6"/>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F7FA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9F7FA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9F7FA6"/>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9F7FA6"/>
    <w:rPr>
      <w:rFonts w:ascii="Cambria" w:eastAsia="Times New Roman" w:hAnsi="Cambria" w:cs="Times New Roman"/>
      <w:i/>
      <w:iCs/>
      <w:color w:val="404040"/>
      <w:sz w:val="20"/>
      <w:szCs w:val="20"/>
    </w:rPr>
  </w:style>
  <w:style w:type="character" w:customStyle="1" w:styleId="Heading2Char">
    <w:name w:val="Heading 2 Char"/>
    <w:basedOn w:val="DefaultParagraphFont"/>
    <w:link w:val="Heading2"/>
    <w:uiPriority w:val="9"/>
    <w:semiHidden/>
    <w:rsid w:val="009F7FA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35331"/>
    <w:rPr>
      <w:rFonts w:asciiTheme="majorHAnsi" w:eastAsiaTheme="majorEastAsia" w:hAnsiTheme="majorHAnsi" w:cstheme="majorBidi"/>
      <w:b/>
      <w:bCs/>
      <w:i/>
      <w:iCs/>
      <w:color w:val="4F81BD" w:themeColor="accent1"/>
    </w:rPr>
  </w:style>
  <w:style w:type="character" w:styleId="Hyperlink">
    <w:name w:val="Hyperlink"/>
    <w:uiPriority w:val="99"/>
    <w:rsid w:val="00935331"/>
    <w:rPr>
      <w:color w:val="0000FF"/>
      <w:u w:val="single"/>
    </w:rPr>
  </w:style>
  <w:style w:type="paragraph" w:styleId="FootnoteText">
    <w:name w:val="footnote text"/>
    <w:basedOn w:val="Normal"/>
    <w:link w:val="FootnoteTextChar"/>
    <w:rsid w:val="009353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35331"/>
    <w:rPr>
      <w:rFonts w:ascii="Times New Roman" w:eastAsia="Times New Roman" w:hAnsi="Times New Roman" w:cs="Times New Roman"/>
      <w:sz w:val="20"/>
      <w:szCs w:val="20"/>
    </w:rPr>
  </w:style>
  <w:style w:type="character" w:styleId="FootnoteReference">
    <w:name w:val="footnote reference"/>
    <w:semiHidden/>
    <w:rsid w:val="00935331"/>
    <w:rPr>
      <w:vertAlign w:val="superscript"/>
    </w:rPr>
  </w:style>
  <w:style w:type="table" w:customStyle="1" w:styleId="TableGrid4">
    <w:name w:val="Table Grid4"/>
    <w:basedOn w:val="TableNormal"/>
    <w:next w:val="TableGrid"/>
    <w:uiPriority w:val="59"/>
    <w:rsid w:val="009353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
    <w:basedOn w:val="Normal"/>
    <w:next w:val="Heading2"/>
    <w:link w:val="Heading1Char"/>
    <w:autoRedefine/>
    <w:uiPriority w:val="99"/>
    <w:qFormat/>
    <w:rsid w:val="009F7FA6"/>
    <w:pPr>
      <w:numPr>
        <w:numId w:val="2"/>
      </w:numPr>
      <w:spacing w:before="120" w:after="120" w:line="240" w:lineRule="auto"/>
      <w:jc w:val="both"/>
      <w:outlineLvl w:val="0"/>
    </w:pPr>
    <w:rPr>
      <w:rFonts w:ascii="Times New Roman" w:eastAsia="Times New Roman" w:hAnsi="Times New Roman" w:cs="Times New Roman"/>
      <w:b/>
      <w:bCs/>
      <w:sz w:val="24"/>
      <w:szCs w:val="24"/>
      <w:lang w:eastAsia="lv-LV"/>
    </w:rPr>
  </w:style>
  <w:style w:type="paragraph" w:styleId="Heading2">
    <w:name w:val="heading 2"/>
    <w:basedOn w:val="Normal"/>
    <w:next w:val="Normal"/>
    <w:link w:val="Heading2Char"/>
    <w:uiPriority w:val="9"/>
    <w:semiHidden/>
    <w:unhideWhenUsed/>
    <w:qFormat/>
    <w:rsid w:val="009F7F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autoRedefine/>
    <w:uiPriority w:val="9"/>
    <w:qFormat/>
    <w:rsid w:val="009F7FA6"/>
    <w:pPr>
      <w:tabs>
        <w:tab w:val="left" w:pos="0"/>
      </w:tabs>
      <w:spacing w:after="0" w:line="240" w:lineRule="atLeast"/>
      <w:jc w:val="both"/>
      <w:textAlignment w:val="baseline"/>
      <w:outlineLvl w:val="2"/>
    </w:pPr>
    <w:rPr>
      <w:rFonts w:ascii="Times New Roman" w:eastAsia="Calibri" w:hAnsi="Times New Roman" w:cs="Times New Roman"/>
      <w:bCs/>
      <w:sz w:val="24"/>
      <w:szCs w:val="24"/>
    </w:rPr>
  </w:style>
  <w:style w:type="paragraph" w:styleId="Heading4">
    <w:name w:val="heading 4"/>
    <w:basedOn w:val="Normal"/>
    <w:next w:val="Normal"/>
    <w:link w:val="Heading4Char"/>
    <w:uiPriority w:val="9"/>
    <w:semiHidden/>
    <w:unhideWhenUsed/>
    <w:qFormat/>
    <w:rsid w:val="0093533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autoRedefine/>
    <w:unhideWhenUsed/>
    <w:qFormat/>
    <w:rsid w:val="009F7FA6"/>
    <w:pPr>
      <w:numPr>
        <w:ilvl w:val="4"/>
        <w:numId w:val="2"/>
      </w:numPr>
      <w:spacing w:after="0" w:line="240" w:lineRule="auto"/>
      <w:jc w:val="both"/>
      <w:outlineLvl w:val="4"/>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9F7FA6"/>
    <w:pPr>
      <w:keepNext/>
      <w:keepLines/>
      <w:numPr>
        <w:ilvl w:val="5"/>
        <w:numId w:val="2"/>
      </w:numPr>
      <w:spacing w:before="200" w:after="0" w:line="240" w:lineRule="auto"/>
      <w:jc w:val="both"/>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nhideWhenUsed/>
    <w:qFormat/>
    <w:rsid w:val="009F7FA6"/>
    <w:pPr>
      <w:keepNext/>
      <w:keepLines/>
      <w:numPr>
        <w:ilvl w:val="6"/>
        <w:numId w:val="2"/>
      </w:numPr>
      <w:spacing w:before="200" w:after="0" w:line="240" w:lineRule="auto"/>
      <w:jc w:val="both"/>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nhideWhenUsed/>
    <w:qFormat/>
    <w:rsid w:val="009F7FA6"/>
    <w:pPr>
      <w:keepNext/>
      <w:keepLines/>
      <w:numPr>
        <w:ilvl w:val="7"/>
        <w:numId w:val="2"/>
      </w:numPr>
      <w:spacing w:before="200" w:after="0" w:line="240" w:lineRule="auto"/>
      <w:jc w:val="both"/>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9F7FA6"/>
    <w:pPr>
      <w:keepNext/>
      <w:keepLines/>
      <w:numPr>
        <w:ilvl w:val="8"/>
        <w:numId w:val="2"/>
      </w:numPr>
      <w:spacing w:before="200" w:after="0" w:line="240" w:lineRule="auto"/>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rsid w:val="00EE159C"/>
    <w:pPr>
      <w:spacing w:after="0" w:line="240" w:lineRule="auto"/>
    </w:pPr>
    <w:rPr>
      <w:rFonts w:ascii="Calibri" w:eastAsia="Calibri" w:hAnsi="Calibri" w:cs="Calibri"/>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1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9"/>
    <w:rsid w:val="009F7FA6"/>
    <w:rPr>
      <w:rFonts w:ascii="Times New Roman" w:eastAsia="Times New Roman" w:hAnsi="Times New Roman" w:cs="Times New Roman"/>
      <w:b/>
      <w:bCs/>
      <w:sz w:val="24"/>
      <w:szCs w:val="24"/>
      <w:lang w:eastAsia="lv-LV"/>
    </w:rPr>
  </w:style>
  <w:style w:type="character" w:customStyle="1" w:styleId="Heading3Char">
    <w:name w:val="Heading 3 Char"/>
    <w:basedOn w:val="DefaultParagraphFont"/>
    <w:link w:val="Heading3"/>
    <w:uiPriority w:val="9"/>
    <w:rsid w:val="009F7FA6"/>
    <w:rPr>
      <w:rFonts w:ascii="Times New Roman" w:eastAsia="Calibri" w:hAnsi="Times New Roman" w:cs="Times New Roman"/>
      <w:bCs/>
      <w:sz w:val="24"/>
      <w:szCs w:val="24"/>
    </w:rPr>
  </w:style>
  <w:style w:type="character" w:customStyle="1" w:styleId="Heading5Char">
    <w:name w:val="Heading 5 Char"/>
    <w:basedOn w:val="DefaultParagraphFont"/>
    <w:link w:val="Heading5"/>
    <w:rsid w:val="009F7FA6"/>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F7FA6"/>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rsid w:val="009F7FA6"/>
    <w:rPr>
      <w:rFonts w:ascii="Cambria" w:eastAsia="Times New Roman" w:hAnsi="Cambria" w:cs="Times New Roman"/>
      <w:i/>
      <w:iCs/>
      <w:color w:val="404040"/>
      <w:sz w:val="24"/>
      <w:szCs w:val="24"/>
    </w:rPr>
  </w:style>
  <w:style w:type="character" w:customStyle="1" w:styleId="Heading8Char">
    <w:name w:val="Heading 8 Char"/>
    <w:basedOn w:val="DefaultParagraphFont"/>
    <w:link w:val="Heading8"/>
    <w:rsid w:val="009F7FA6"/>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9F7FA6"/>
    <w:rPr>
      <w:rFonts w:ascii="Cambria" w:eastAsia="Times New Roman" w:hAnsi="Cambria" w:cs="Times New Roman"/>
      <w:i/>
      <w:iCs/>
      <w:color w:val="404040"/>
      <w:sz w:val="20"/>
      <w:szCs w:val="20"/>
    </w:rPr>
  </w:style>
  <w:style w:type="character" w:customStyle="1" w:styleId="Heading2Char">
    <w:name w:val="Heading 2 Char"/>
    <w:basedOn w:val="DefaultParagraphFont"/>
    <w:link w:val="Heading2"/>
    <w:uiPriority w:val="9"/>
    <w:semiHidden/>
    <w:rsid w:val="009F7FA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935331"/>
    <w:rPr>
      <w:rFonts w:asciiTheme="majorHAnsi" w:eastAsiaTheme="majorEastAsia" w:hAnsiTheme="majorHAnsi" w:cstheme="majorBidi"/>
      <w:b/>
      <w:bCs/>
      <w:i/>
      <w:iCs/>
      <w:color w:val="4F81BD" w:themeColor="accent1"/>
    </w:rPr>
  </w:style>
  <w:style w:type="character" w:styleId="Hyperlink">
    <w:name w:val="Hyperlink"/>
    <w:uiPriority w:val="99"/>
    <w:rsid w:val="00935331"/>
    <w:rPr>
      <w:color w:val="0000FF"/>
      <w:u w:val="single"/>
    </w:rPr>
  </w:style>
  <w:style w:type="paragraph" w:styleId="FootnoteText">
    <w:name w:val="footnote text"/>
    <w:basedOn w:val="Normal"/>
    <w:link w:val="FootnoteTextChar"/>
    <w:rsid w:val="0093533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935331"/>
    <w:rPr>
      <w:rFonts w:ascii="Times New Roman" w:eastAsia="Times New Roman" w:hAnsi="Times New Roman" w:cs="Times New Roman"/>
      <w:sz w:val="20"/>
      <w:szCs w:val="20"/>
    </w:rPr>
  </w:style>
  <w:style w:type="character" w:styleId="FootnoteReference">
    <w:name w:val="footnote reference"/>
    <w:semiHidden/>
    <w:rsid w:val="00935331"/>
    <w:rPr>
      <w:vertAlign w:val="superscript"/>
    </w:rPr>
  </w:style>
  <w:style w:type="table" w:customStyle="1" w:styleId="TableGrid4">
    <w:name w:val="Table Grid4"/>
    <w:basedOn w:val="TableNormal"/>
    <w:next w:val="TableGrid"/>
    <w:uiPriority w:val="59"/>
    <w:rsid w:val="0093533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gov.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growth/tools-databases/espd/filter?lang=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3259</Words>
  <Characters>1858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Riga Stradins University</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Sjuzana Faizuļļina</dc:creator>
  <cp:lastModifiedBy>Sjuzana Faizuļļina</cp:lastModifiedBy>
  <cp:revision>3</cp:revision>
  <dcterms:created xsi:type="dcterms:W3CDTF">2017-11-27T12:45:00Z</dcterms:created>
  <dcterms:modified xsi:type="dcterms:W3CDTF">2017-11-27T12:45:00Z</dcterms:modified>
</cp:coreProperties>
</file>