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C7" w:rsidRPr="003A6639" w:rsidRDefault="00C52E5D" w:rsidP="00E6344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Paziņojums par pieņemto lēmumu</w:t>
      </w:r>
    </w:p>
    <w:p w:rsidR="00C52E5D" w:rsidRPr="003A6639" w:rsidRDefault="00C52E5D" w:rsidP="00E6344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 xml:space="preserve">iepirkumā </w:t>
      </w:r>
    </w:p>
    <w:p w:rsidR="009D725C" w:rsidRPr="003A6639" w:rsidRDefault="009D725C" w:rsidP="00E6344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63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C22233" w:rsidRPr="00C47C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lv-LV"/>
        </w:rPr>
        <w:t>Gultas veļas, segu, spilvenu un dvieļu iegāde</w:t>
      </w:r>
      <w:r w:rsidR="00A63BAD" w:rsidRPr="003A663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30BE3" w:rsidRPr="00BD0C7A" w:rsidRDefault="00730BE3" w:rsidP="00E6344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1E4" w:rsidRPr="00BD0C7A" w:rsidRDefault="00E126F9" w:rsidP="00E6344B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C7A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BD0C7A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A63BAD" w:rsidRPr="00A63BAD" w:rsidRDefault="00B361E4" w:rsidP="00E6344B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C7A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C22233" w:rsidRPr="003D6204">
        <w:rPr>
          <w:rFonts w:ascii="Times New Roman" w:hAnsi="Times New Roman" w:cs="Times New Roman"/>
          <w:sz w:val="24"/>
          <w:szCs w:val="24"/>
        </w:rPr>
        <w:t>15</w:t>
      </w:r>
      <w:r w:rsidR="006A4546" w:rsidRPr="003D6204">
        <w:rPr>
          <w:rFonts w:ascii="Times New Roman" w:hAnsi="Times New Roman" w:cs="Times New Roman"/>
          <w:sz w:val="24"/>
          <w:szCs w:val="24"/>
        </w:rPr>
        <w:t>.</w:t>
      </w:r>
      <w:r w:rsidR="003A6639">
        <w:rPr>
          <w:rFonts w:ascii="Times New Roman" w:hAnsi="Times New Roman" w:cs="Times New Roman"/>
          <w:sz w:val="24"/>
          <w:szCs w:val="24"/>
        </w:rPr>
        <w:t>10</w:t>
      </w:r>
      <w:r w:rsidR="00A63BAD">
        <w:rPr>
          <w:rFonts w:ascii="Times New Roman" w:hAnsi="Times New Roman" w:cs="Times New Roman"/>
          <w:sz w:val="24"/>
          <w:szCs w:val="24"/>
        </w:rPr>
        <w:t>.2017.</w:t>
      </w:r>
      <w:r w:rsidR="003C4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6F9" w:rsidRPr="00A63BAD" w:rsidRDefault="00E126F9" w:rsidP="00E6344B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AD">
        <w:rPr>
          <w:rFonts w:ascii="Times New Roman" w:hAnsi="Times New Roman" w:cs="Times New Roman"/>
          <w:b/>
          <w:sz w:val="24"/>
          <w:szCs w:val="24"/>
        </w:rPr>
        <w:t>Iepirkuma</w:t>
      </w:r>
      <w:r w:rsidR="00C244FB" w:rsidRPr="00A63BAD">
        <w:rPr>
          <w:rFonts w:ascii="Times New Roman" w:hAnsi="Times New Roman" w:cs="Times New Roman"/>
          <w:b/>
          <w:sz w:val="24"/>
          <w:szCs w:val="24"/>
        </w:rPr>
        <w:t xml:space="preserve"> nosaukums un </w:t>
      </w:r>
      <w:r w:rsidRPr="00A63BAD">
        <w:rPr>
          <w:rFonts w:ascii="Times New Roman" w:hAnsi="Times New Roman" w:cs="Times New Roman"/>
          <w:b/>
          <w:sz w:val="24"/>
          <w:szCs w:val="24"/>
        </w:rPr>
        <w:t xml:space="preserve"> identifikācijas Nr.</w:t>
      </w:r>
      <w:r w:rsidRPr="00A63BAD">
        <w:rPr>
          <w:rFonts w:ascii="Times New Roman" w:hAnsi="Times New Roman" w:cs="Times New Roman"/>
          <w:sz w:val="24"/>
          <w:szCs w:val="24"/>
        </w:rPr>
        <w:t xml:space="preserve"> </w:t>
      </w:r>
      <w:r w:rsidR="00704DB7">
        <w:rPr>
          <w:rFonts w:ascii="Times New Roman" w:hAnsi="Times New Roman" w:cs="Times New Roman"/>
          <w:bCs/>
          <w:sz w:val="24"/>
          <w:szCs w:val="24"/>
        </w:rPr>
        <w:t>“</w:t>
      </w:r>
      <w:r w:rsidR="00C22233" w:rsidRPr="00C47C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lv-LV"/>
        </w:rPr>
        <w:t>Gultas veļas, segu, spilvenu un dvieļu iegāde</w:t>
      </w:r>
      <w:r w:rsidR="00704DB7">
        <w:rPr>
          <w:rFonts w:ascii="Times New Roman" w:hAnsi="Times New Roman" w:cs="Times New Roman"/>
          <w:bCs/>
          <w:sz w:val="24"/>
          <w:szCs w:val="24"/>
        </w:rPr>
        <w:t>”, ID Nr. RSU-2017/</w:t>
      </w:r>
      <w:r w:rsidR="00C22233">
        <w:rPr>
          <w:rFonts w:ascii="Times New Roman" w:hAnsi="Times New Roman" w:cs="Times New Roman"/>
          <w:bCs/>
          <w:sz w:val="24"/>
          <w:szCs w:val="24"/>
        </w:rPr>
        <w:t>85</w:t>
      </w:r>
      <w:r w:rsidR="00693AF7">
        <w:rPr>
          <w:rFonts w:ascii="Times New Roman" w:hAnsi="Times New Roman" w:cs="Times New Roman"/>
          <w:bCs/>
          <w:sz w:val="24"/>
          <w:szCs w:val="24"/>
        </w:rPr>
        <w:t>/AFN-MI</w:t>
      </w:r>
      <w:r w:rsidR="004715A2" w:rsidRPr="00A63BAD">
        <w:rPr>
          <w:rFonts w:ascii="Times New Roman" w:hAnsi="Times New Roman" w:cs="Times New Roman"/>
          <w:bCs/>
          <w:sz w:val="24"/>
          <w:szCs w:val="24"/>
        </w:rPr>
        <w:t>.</w:t>
      </w:r>
    </w:p>
    <w:p w:rsidR="00A63BAD" w:rsidRPr="00AC4727" w:rsidRDefault="00E126F9" w:rsidP="00E6344B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C7A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BD0C7A">
        <w:rPr>
          <w:rFonts w:ascii="Times New Roman" w:hAnsi="Times New Roman" w:cs="Times New Roman"/>
          <w:sz w:val="24"/>
          <w:szCs w:val="24"/>
        </w:rPr>
        <w:t>iepirkums Publisko iepirkumu likuma</w:t>
      </w:r>
      <w:r w:rsidR="007F6381">
        <w:rPr>
          <w:rFonts w:ascii="Times New Roman" w:hAnsi="Times New Roman" w:cs="Times New Roman"/>
          <w:sz w:val="24"/>
          <w:szCs w:val="24"/>
        </w:rPr>
        <w:t xml:space="preserve"> </w:t>
      </w:r>
      <w:r w:rsidR="006A4546">
        <w:rPr>
          <w:rFonts w:ascii="Times New Roman" w:hAnsi="Times New Roman" w:cs="Times New Roman"/>
          <w:sz w:val="24"/>
          <w:szCs w:val="24"/>
        </w:rPr>
        <w:t>9</w:t>
      </w:r>
      <w:r w:rsidRPr="00BD0C7A">
        <w:rPr>
          <w:rFonts w:ascii="Times New Roman" w:hAnsi="Times New Roman" w:cs="Times New Roman"/>
          <w:sz w:val="24"/>
          <w:szCs w:val="24"/>
        </w:rPr>
        <w:t xml:space="preserve">.panta </w:t>
      </w:r>
      <w:r w:rsidR="00704DB7">
        <w:rPr>
          <w:rFonts w:ascii="Times New Roman" w:hAnsi="Times New Roman" w:cs="Times New Roman"/>
          <w:sz w:val="24"/>
          <w:szCs w:val="24"/>
        </w:rPr>
        <w:t>kārtībā</w:t>
      </w:r>
      <w:r w:rsidR="007F6381">
        <w:rPr>
          <w:rFonts w:ascii="Times New Roman" w:hAnsi="Times New Roman" w:cs="Times New Roman"/>
          <w:sz w:val="24"/>
          <w:szCs w:val="24"/>
        </w:rPr>
        <w:t>.</w:t>
      </w:r>
    </w:p>
    <w:p w:rsidR="00AC4727" w:rsidRPr="00AC4727" w:rsidRDefault="002500BE" w:rsidP="00E6344B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27">
        <w:rPr>
          <w:rFonts w:ascii="Times New Roman" w:hAnsi="Times New Roman" w:cs="Times New Roman"/>
          <w:b/>
          <w:sz w:val="24"/>
          <w:szCs w:val="24"/>
        </w:rPr>
        <w:t>Iepirkuma</w:t>
      </w:r>
      <w:r w:rsidR="00E126F9" w:rsidRPr="00AC4727">
        <w:rPr>
          <w:rFonts w:ascii="Times New Roman" w:hAnsi="Times New Roman" w:cs="Times New Roman"/>
          <w:b/>
          <w:sz w:val="24"/>
          <w:szCs w:val="24"/>
        </w:rPr>
        <w:t xml:space="preserve"> priekšmets: </w:t>
      </w:r>
      <w:r w:rsidR="00A63BAD" w:rsidRPr="00AC4727">
        <w:rPr>
          <w:rFonts w:ascii="Times New Roman" w:hAnsi="Times New Roman" w:cs="Times New Roman"/>
          <w:sz w:val="24"/>
          <w:szCs w:val="24"/>
        </w:rPr>
        <w:t>Iepirku</w:t>
      </w:r>
      <w:r w:rsidR="00B60E2F" w:rsidRPr="00AC4727">
        <w:rPr>
          <w:rFonts w:ascii="Times New Roman" w:hAnsi="Times New Roman" w:cs="Times New Roman"/>
          <w:sz w:val="24"/>
          <w:szCs w:val="24"/>
        </w:rPr>
        <w:t>ma</w:t>
      </w:r>
      <w:r w:rsidR="00B60E2F" w:rsidRPr="00E15602">
        <w:rPr>
          <w:rFonts w:ascii="Times New Roman" w:hAnsi="Times New Roman" w:cs="Times New Roman"/>
          <w:sz w:val="24"/>
          <w:szCs w:val="24"/>
        </w:rPr>
        <w:t xml:space="preserve"> p</w:t>
      </w:r>
      <w:r w:rsidR="00704DB7" w:rsidRPr="00E15602">
        <w:rPr>
          <w:rFonts w:ascii="Times New Roman" w:hAnsi="Times New Roman" w:cs="Times New Roman"/>
          <w:sz w:val="24"/>
          <w:szCs w:val="24"/>
        </w:rPr>
        <w:t>riekšmets ir</w:t>
      </w:r>
      <w:r w:rsidR="0024598F">
        <w:rPr>
          <w:rFonts w:ascii="Times New Roman" w:hAnsi="Times New Roman" w:cs="Times New Roman"/>
          <w:sz w:val="24"/>
          <w:szCs w:val="24"/>
        </w:rPr>
        <w:t xml:space="preserve"> </w:t>
      </w:r>
      <w:r w:rsidR="00C22233" w:rsidRPr="00C222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v-LV"/>
        </w:rPr>
        <w:t>gultas veļas, segu, spilvenu un dvieļu iegāde</w:t>
      </w:r>
      <w:r w:rsidR="0024598F" w:rsidRPr="00C22233">
        <w:rPr>
          <w:rFonts w:ascii="Times New Roman" w:hAnsi="Times New Roman" w:cs="Times New Roman"/>
          <w:sz w:val="24"/>
          <w:szCs w:val="24"/>
        </w:rPr>
        <w:t xml:space="preserve"> </w:t>
      </w:r>
      <w:r w:rsidR="00E15602" w:rsidRPr="00E15602">
        <w:rPr>
          <w:rFonts w:ascii="Times New Roman" w:hAnsi="Times New Roman" w:cs="Times New Roman"/>
          <w:sz w:val="24"/>
          <w:szCs w:val="24"/>
        </w:rPr>
        <w:t xml:space="preserve">saskaņā ar Tehnisko specifikāciju (Iepirkuma nolikuma </w:t>
      </w:r>
      <w:r w:rsidR="00E15602" w:rsidRPr="00E15602">
        <w:rPr>
          <w:rFonts w:ascii="Times New Roman" w:hAnsi="Times New Roman" w:cs="Times New Roman"/>
          <w:b/>
          <w:i/>
          <w:sz w:val="24"/>
          <w:szCs w:val="24"/>
        </w:rPr>
        <w:t>2. pielikums</w:t>
      </w:r>
      <w:r w:rsidR="00E15602" w:rsidRPr="00E15602">
        <w:rPr>
          <w:rFonts w:ascii="Times New Roman" w:hAnsi="Times New Roman" w:cs="Times New Roman"/>
          <w:sz w:val="24"/>
          <w:szCs w:val="24"/>
        </w:rPr>
        <w:t>)</w:t>
      </w:r>
      <w:r w:rsidR="00E15602">
        <w:rPr>
          <w:rFonts w:ascii="Times New Roman" w:hAnsi="Times New Roman" w:cs="Times New Roman"/>
          <w:sz w:val="24"/>
          <w:szCs w:val="24"/>
        </w:rPr>
        <w:t>.</w:t>
      </w:r>
    </w:p>
    <w:p w:rsidR="00E126F9" w:rsidRPr="00967DE9" w:rsidRDefault="00E126F9" w:rsidP="00E6344B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E9">
        <w:rPr>
          <w:rFonts w:ascii="Times New Roman" w:hAnsi="Times New Roman" w:cs="Times New Roman"/>
          <w:b/>
          <w:sz w:val="24"/>
          <w:szCs w:val="24"/>
        </w:rPr>
        <w:t xml:space="preserve">Saņemto piedāvājumu skaits: </w:t>
      </w:r>
      <w:r w:rsidR="00C22233">
        <w:rPr>
          <w:rFonts w:ascii="Times New Roman" w:hAnsi="Times New Roman" w:cs="Times New Roman"/>
          <w:sz w:val="24"/>
          <w:szCs w:val="24"/>
        </w:rPr>
        <w:t>7</w:t>
      </w:r>
      <w:r w:rsidR="00967DE9">
        <w:rPr>
          <w:rFonts w:ascii="Times New Roman" w:hAnsi="Times New Roman" w:cs="Times New Roman"/>
          <w:sz w:val="24"/>
          <w:szCs w:val="24"/>
        </w:rPr>
        <w:t xml:space="preserve"> </w:t>
      </w:r>
      <w:r w:rsidR="006A4546">
        <w:rPr>
          <w:rFonts w:ascii="Times New Roman" w:hAnsi="Times New Roman" w:cs="Times New Roman"/>
          <w:sz w:val="24"/>
          <w:szCs w:val="24"/>
        </w:rPr>
        <w:t>(</w:t>
      </w:r>
      <w:r w:rsidR="00C22233">
        <w:rPr>
          <w:rFonts w:ascii="Times New Roman" w:hAnsi="Times New Roman" w:cs="Times New Roman"/>
          <w:sz w:val="24"/>
          <w:szCs w:val="24"/>
        </w:rPr>
        <w:t>septiņi</w:t>
      </w:r>
      <w:r w:rsidR="00F62C8F" w:rsidRPr="00967DE9">
        <w:rPr>
          <w:rFonts w:ascii="Times New Roman" w:hAnsi="Times New Roman" w:cs="Times New Roman"/>
          <w:sz w:val="24"/>
          <w:szCs w:val="24"/>
        </w:rPr>
        <w:t>)</w:t>
      </w:r>
    </w:p>
    <w:p w:rsidR="00B361E4" w:rsidRDefault="000707D3" w:rsidP="00E6344B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Pretendent</w:t>
      </w:r>
      <w:r w:rsidR="00E15602">
        <w:rPr>
          <w:rFonts w:ascii="Times New Roman" w:hAnsi="Times New Roman" w:cs="Times New Roman"/>
          <w:b/>
          <w:sz w:val="24"/>
          <w:szCs w:val="24"/>
        </w:rPr>
        <w:t>i</w:t>
      </w:r>
      <w:r w:rsidR="008D120A" w:rsidRPr="00BD0C7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038" w:type="dxa"/>
        <w:tblInd w:w="284" w:type="dxa"/>
        <w:tblLook w:val="04A0" w:firstRow="1" w:lastRow="0" w:firstColumn="1" w:lastColumn="0" w:noHBand="0" w:noVBand="1"/>
      </w:tblPr>
      <w:tblGrid>
        <w:gridCol w:w="913"/>
        <w:gridCol w:w="2030"/>
        <w:gridCol w:w="3118"/>
        <w:gridCol w:w="2977"/>
      </w:tblGrid>
      <w:tr w:rsidR="00C22233" w:rsidTr="00C2223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Pretendents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Cena ar piedāvāto atlaidi pirmreizējam pasūtījumam EUR bez PVN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Cena par visām pozīcijām kopā EUR bez PVN</w:t>
            </w:r>
          </w:p>
        </w:tc>
      </w:tr>
      <w:tr w:rsidR="00C22233" w:rsidTr="00C2223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SIA “MAGGI”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12 673,00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61,10</w:t>
            </w:r>
          </w:p>
        </w:tc>
      </w:tr>
      <w:tr w:rsidR="00C22233" w:rsidTr="00C2223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SIA “AUSTD”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11 538,05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54,11</w:t>
            </w:r>
          </w:p>
        </w:tc>
      </w:tr>
      <w:tr w:rsidR="00C22233" w:rsidTr="00C2223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SIA “Egle RIS”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11 436,40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41,12</w:t>
            </w:r>
          </w:p>
        </w:tc>
      </w:tr>
      <w:tr w:rsidR="00C22233" w:rsidTr="00C2223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SIA “Katūns”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12 418,40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47,10</w:t>
            </w:r>
          </w:p>
        </w:tc>
      </w:tr>
      <w:tr w:rsidR="00C22233" w:rsidTr="00C2223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SIA “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Intelligence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27 490,61 (pēc aritmētisko kļūdu labojumiem </w:t>
            </w:r>
            <w:r w:rsidRPr="00C22233">
              <w:rPr>
                <w:rFonts w:ascii="Times New Roman" w:hAnsi="Times New Roman"/>
                <w:sz w:val="23"/>
                <w:szCs w:val="23"/>
                <w:u w:val="single"/>
              </w:rPr>
              <w:t>27493,76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143,11</w:t>
            </w:r>
          </w:p>
        </w:tc>
      </w:tr>
      <w:tr w:rsidR="00C22233" w:rsidTr="00C2223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SIA “DMT GROUP”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15 442,63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106,46</w:t>
            </w:r>
          </w:p>
        </w:tc>
      </w:tr>
      <w:tr w:rsidR="00C22233" w:rsidTr="00C2223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SIA “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Prāna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un Ko”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12 524,80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3" w:rsidRDefault="00C22233" w:rsidP="00E6344B">
            <w:pPr>
              <w:pStyle w:val="ListParagraph"/>
              <w:keepNext/>
              <w:keepLines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48,39</w:t>
            </w:r>
          </w:p>
        </w:tc>
      </w:tr>
    </w:tbl>
    <w:p w:rsidR="00AC4727" w:rsidRDefault="00AC4727" w:rsidP="00E6344B">
      <w:pPr>
        <w:pStyle w:val="ListParagraph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46" w:rsidRPr="00E15602" w:rsidRDefault="006A4546" w:rsidP="00E6344B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pārbaudīja un konstatēja, ka </w:t>
      </w:r>
      <w:r w:rsidR="00E15602" w:rsidRPr="00BD564E">
        <w:rPr>
          <w:rFonts w:ascii="Times New Roman" w:hAnsi="Times New Roman" w:cs="Times New Roman"/>
          <w:sz w:val="24"/>
          <w:szCs w:val="24"/>
        </w:rPr>
        <w:t>pretendent</w:t>
      </w:r>
      <w:r w:rsidR="00E15602">
        <w:rPr>
          <w:rFonts w:ascii="Times New Roman" w:hAnsi="Times New Roman" w:cs="Times New Roman"/>
          <w:sz w:val="24"/>
          <w:szCs w:val="24"/>
        </w:rPr>
        <w:t>s</w:t>
      </w:r>
      <w:r w:rsidR="00E15602" w:rsidRPr="00BD564E">
        <w:rPr>
          <w:rFonts w:ascii="Times New Roman" w:hAnsi="Times New Roman" w:cs="Times New Roman"/>
          <w:sz w:val="24"/>
          <w:szCs w:val="24"/>
        </w:rPr>
        <w:t xml:space="preserve"> </w:t>
      </w:r>
      <w:r w:rsidR="00C22233" w:rsidRPr="00900EA0">
        <w:rPr>
          <w:rFonts w:ascii="Times New Roman" w:hAnsi="Times New Roman" w:cs="Times New Roman"/>
          <w:sz w:val="24"/>
          <w:szCs w:val="24"/>
        </w:rPr>
        <w:t>SIA “MAGGI</w:t>
      </w:r>
      <w:r w:rsidR="00C22233" w:rsidRPr="00900EA0">
        <w:rPr>
          <w:rFonts w:ascii="Times New Roman" w:eastAsia="Calibri" w:hAnsi="Times New Roman" w:cs="Times New Roman"/>
          <w:sz w:val="24"/>
          <w:szCs w:val="24"/>
        </w:rPr>
        <w:t>”, SIA “</w:t>
      </w:r>
      <w:r w:rsidR="00C22233" w:rsidRPr="00900EA0">
        <w:rPr>
          <w:rFonts w:ascii="Times New Roman" w:hAnsi="Times New Roman" w:cs="Times New Roman"/>
          <w:sz w:val="24"/>
          <w:szCs w:val="24"/>
        </w:rPr>
        <w:t>AUSTD</w:t>
      </w:r>
      <w:r w:rsidR="00C22233" w:rsidRPr="00900EA0">
        <w:rPr>
          <w:rFonts w:ascii="Times New Roman" w:eastAsia="Calibri" w:hAnsi="Times New Roman" w:cs="Times New Roman"/>
          <w:sz w:val="24"/>
          <w:szCs w:val="24"/>
        </w:rPr>
        <w:t>”, SIA “</w:t>
      </w:r>
      <w:r w:rsidR="00C22233" w:rsidRPr="00900EA0">
        <w:rPr>
          <w:rFonts w:ascii="Times New Roman" w:hAnsi="Times New Roman" w:cs="Times New Roman"/>
          <w:sz w:val="24"/>
          <w:szCs w:val="24"/>
        </w:rPr>
        <w:t>EGLE RIS</w:t>
      </w:r>
      <w:r w:rsidR="00C22233" w:rsidRPr="00900EA0">
        <w:rPr>
          <w:rFonts w:ascii="Times New Roman" w:eastAsia="Calibri" w:hAnsi="Times New Roman" w:cs="Times New Roman"/>
          <w:sz w:val="24"/>
          <w:szCs w:val="24"/>
        </w:rPr>
        <w:t>”,</w:t>
      </w:r>
      <w:r w:rsidR="00C22233" w:rsidRPr="00900EA0">
        <w:rPr>
          <w:rFonts w:ascii="Times New Roman" w:hAnsi="Times New Roman" w:cs="Times New Roman"/>
          <w:sz w:val="24"/>
          <w:szCs w:val="24"/>
        </w:rPr>
        <w:t xml:space="preserve"> SIA “KATŪNS”, SIA “</w:t>
      </w:r>
      <w:proofErr w:type="spellStart"/>
      <w:r w:rsidR="00C22233" w:rsidRPr="00900EA0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="00C22233" w:rsidRPr="00900EA0">
        <w:rPr>
          <w:rFonts w:ascii="Times New Roman" w:hAnsi="Times New Roman" w:cs="Times New Roman"/>
          <w:sz w:val="24"/>
          <w:szCs w:val="24"/>
        </w:rPr>
        <w:t>”, SIA “DMT GROUP”</w:t>
      </w:r>
      <w:r w:rsidR="00C22233" w:rsidRPr="00900EA0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="00C22233" w:rsidRPr="00900EA0">
        <w:rPr>
          <w:rFonts w:ascii="Times New Roman" w:hAnsi="Times New Roman" w:cs="Times New Roman"/>
          <w:sz w:val="24"/>
          <w:szCs w:val="24"/>
        </w:rPr>
        <w:t>SIA “PRĀNA Ko”</w:t>
      </w:r>
      <w:r w:rsidR="00C22233" w:rsidRPr="00900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5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602" w:rsidRPr="00BD564E">
        <w:rPr>
          <w:rFonts w:ascii="Times New Roman" w:hAnsi="Times New Roman" w:cs="Times New Roman"/>
          <w:sz w:val="24"/>
          <w:szCs w:val="24"/>
        </w:rPr>
        <w:t xml:space="preserve">ir noformējuši piedāvājumu </w:t>
      </w:r>
      <w:r w:rsidR="00E15602" w:rsidRPr="00E15602">
        <w:rPr>
          <w:rFonts w:ascii="Times New Roman" w:hAnsi="Times New Roman" w:cs="Times New Roman"/>
          <w:b/>
          <w:sz w:val="24"/>
          <w:szCs w:val="24"/>
        </w:rPr>
        <w:t>atbilstoši Iepirkuma nolikuma 1.12.punkta noformēšanas prasībām.</w:t>
      </w:r>
    </w:p>
    <w:p w:rsidR="00E15602" w:rsidRPr="00C22233" w:rsidRDefault="00E15602" w:rsidP="00E6344B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5B6">
        <w:rPr>
          <w:rFonts w:ascii="Times New Roman" w:eastAsia="Calibri" w:hAnsi="Times New Roman" w:cs="Times New Roman"/>
          <w:sz w:val="24"/>
          <w:szCs w:val="24"/>
        </w:rPr>
        <w:t xml:space="preserve">Komisija </w:t>
      </w:r>
      <w:r w:rsidR="00A565C7">
        <w:rPr>
          <w:rFonts w:ascii="Times New Roman" w:hAnsi="Times New Roman" w:cs="Times New Roman"/>
          <w:sz w:val="24"/>
          <w:szCs w:val="24"/>
        </w:rPr>
        <w:t xml:space="preserve">pārbaudīja un </w:t>
      </w:r>
      <w:r w:rsidRPr="00A925B6">
        <w:rPr>
          <w:rFonts w:ascii="Times New Roman" w:eastAsia="Calibri" w:hAnsi="Times New Roman" w:cs="Times New Roman"/>
          <w:sz w:val="24"/>
          <w:szCs w:val="24"/>
        </w:rPr>
        <w:t>konstatē</w:t>
      </w:r>
      <w:r>
        <w:rPr>
          <w:rFonts w:ascii="Times New Roman" w:eastAsia="Calibri" w:hAnsi="Times New Roman" w:cs="Times New Roman"/>
          <w:sz w:val="24"/>
          <w:szCs w:val="24"/>
        </w:rPr>
        <w:t>ja</w:t>
      </w:r>
      <w:r w:rsidRPr="00A925B6">
        <w:rPr>
          <w:rFonts w:ascii="Times New Roman" w:eastAsia="Calibri" w:hAnsi="Times New Roman" w:cs="Times New Roman"/>
          <w:sz w:val="24"/>
          <w:szCs w:val="24"/>
        </w:rPr>
        <w:t xml:space="preserve">, ka </w:t>
      </w:r>
      <w:r w:rsidRPr="00A925B6">
        <w:rPr>
          <w:rFonts w:ascii="Times New Roman" w:hAnsi="Times New Roman" w:cs="Times New Roman"/>
          <w:sz w:val="24"/>
          <w:szCs w:val="24"/>
        </w:rPr>
        <w:t xml:space="preserve">pretendents </w:t>
      </w:r>
      <w:r w:rsidR="00C22233" w:rsidRPr="00900EA0">
        <w:rPr>
          <w:rFonts w:ascii="Times New Roman" w:hAnsi="Times New Roman" w:cs="Times New Roman"/>
          <w:sz w:val="24"/>
          <w:szCs w:val="24"/>
        </w:rPr>
        <w:t>SIA “MAGGI</w:t>
      </w:r>
      <w:r w:rsidR="00C22233" w:rsidRPr="00900EA0">
        <w:rPr>
          <w:rFonts w:ascii="Times New Roman" w:eastAsia="Calibri" w:hAnsi="Times New Roman" w:cs="Times New Roman"/>
          <w:sz w:val="24"/>
          <w:szCs w:val="24"/>
        </w:rPr>
        <w:t>”, SIA “</w:t>
      </w:r>
      <w:r w:rsidR="00C22233" w:rsidRPr="00900EA0">
        <w:rPr>
          <w:rFonts w:ascii="Times New Roman" w:hAnsi="Times New Roman" w:cs="Times New Roman"/>
          <w:sz w:val="24"/>
          <w:szCs w:val="24"/>
        </w:rPr>
        <w:t>AUSTD</w:t>
      </w:r>
      <w:r w:rsidR="00C22233" w:rsidRPr="00900EA0">
        <w:rPr>
          <w:rFonts w:ascii="Times New Roman" w:eastAsia="Calibri" w:hAnsi="Times New Roman" w:cs="Times New Roman"/>
          <w:sz w:val="24"/>
          <w:szCs w:val="24"/>
        </w:rPr>
        <w:t>”, SIA “</w:t>
      </w:r>
      <w:r w:rsidR="00C22233" w:rsidRPr="00900EA0">
        <w:rPr>
          <w:rFonts w:ascii="Times New Roman" w:hAnsi="Times New Roman" w:cs="Times New Roman"/>
          <w:sz w:val="24"/>
          <w:szCs w:val="24"/>
        </w:rPr>
        <w:t>EGLE RIS</w:t>
      </w:r>
      <w:r w:rsidR="00C22233" w:rsidRPr="00900EA0">
        <w:rPr>
          <w:rFonts w:ascii="Times New Roman" w:eastAsia="Calibri" w:hAnsi="Times New Roman" w:cs="Times New Roman"/>
          <w:sz w:val="24"/>
          <w:szCs w:val="24"/>
        </w:rPr>
        <w:t>”,</w:t>
      </w:r>
      <w:r w:rsidR="00C22233" w:rsidRPr="00900EA0">
        <w:rPr>
          <w:rFonts w:ascii="Times New Roman" w:hAnsi="Times New Roman" w:cs="Times New Roman"/>
          <w:sz w:val="24"/>
          <w:szCs w:val="24"/>
        </w:rPr>
        <w:t xml:space="preserve"> SIA “KATŪNS”, SIA “</w:t>
      </w:r>
      <w:proofErr w:type="spellStart"/>
      <w:r w:rsidR="00C22233" w:rsidRPr="00900EA0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="00C22233" w:rsidRPr="00900EA0">
        <w:rPr>
          <w:rFonts w:ascii="Times New Roman" w:hAnsi="Times New Roman" w:cs="Times New Roman"/>
          <w:sz w:val="24"/>
          <w:szCs w:val="24"/>
        </w:rPr>
        <w:t>”, SIA “DMT GROUP”</w:t>
      </w:r>
      <w:r w:rsidR="00C22233" w:rsidRPr="00900EA0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="00C22233" w:rsidRPr="00900EA0">
        <w:rPr>
          <w:rFonts w:ascii="Times New Roman" w:hAnsi="Times New Roman" w:cs="Times New Roman"/>
          <w:sz w:val="24"/>
          <w:szCs w:val="24"/>
        </w:rPr>
        <w:t>SIA “PRĀNA Ko”</w:t>
      </w:r>
      <w:r w:rsidR="00C22233" w:rsidRPr="00900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5C7" w:rsidRPr="006F145A">
        <w:rPr>
          <w:rFonts w:ascii="Times New Roman" w:eastAsia="Calibri" w:hAnsi="Times New Roman" w:cs="Times New Roman"/>
          <w:b/>
          <w:sz w:val="24"/>
          <w:szCs w:val="24"/>
        </w:rPr>
        <w:t>atbilst Iepirkuma nolikumā noteiktajām kvalifikācijas prasībām.</w:t>
      </w:r>
      <w:r w:rsidR="00A565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22233" w:rsidRPr="00C22233" w:rsidRDefault="00C22233" w:rsidP="00E6344B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233">
        <w:rPr>
          <w:rFonts w:ascii="Times New Roman" w:eastAsia="Calibri" w:hAnsi="Times New Roman" w:cs="Times New Roman"/>
          <w:sz w:val="24"/>
          <w:szCs w:val="24"/>
        </w:rPr>
        <w:t xml:space="preserve">Komisija pārbaudīja un konstatēja, ka </w:t>
      </w:r>
      <w:r w:rsidRPr="00C22233">
        <w:rPr>
          <w:rFonts w:ascii="Times New Roman" w:hAnsi="Times New Roman" w:cs="Times New Roman"/>
          <w:sz w:val="24"/>
          <w:szCs w:val="24"/>
        </w:rPr>
        <w:t xml:space="preserve">pretendents SIA “DMT GROUP” </w:t>
      </w:r>
      <w:r w:rsidRPr="00C22233">
        <w:rPr>
          <w:rFonts w:ascii="Times New Roman" w:eastAsia="Calibri" w:hAnsi="Times New Roman" w:cs="Times New Roman"/>
          <w:sz w:val="24"/>
          <w:szCs w:val="24"/>
        </w:rPr>
        <w:t xml:space="preserve">tehniskajā piedāvājumā 2.pozīcijā “Spilvens” piedāvā spilvena krāsu “balta”, savukārt tehniskās specifikācijas prasība ir noteikta “krāsa: balta, bēša vai pelēka, saskaņojot ar pasūtītāju”. Tehniskā piedāvājuma </w:t>
      </w:r>
      <w:r w:rsidRPr="00C22233">
        <w:rPr>
          <w:rFonts w:ascii="Times New Roman" w:hAnsi="Times New Roman" w:cs="Times New Roman"/>
          <w:sz w:val="24"/>
          <w:szCs w:val="24"/>
        </w:rPr>
        <w:t xml:space="preserve">5.pozīcijā un 6.pozīcijā “Frotē dvielis” ir norādījis, ka mazgāšanas temperatūra līdz </w:t>
      </w:r>
      <w:r w:rsidRPr="00C22233">
        <w:rPr>
          <w:rFonts w:ascii="Times New Roman" w:eastAsia="Calibri" w:hAnsi="Times New Roman" w:cs="Times New Roman"/>
          <w:sz w:val="24"/>
          <w:szCs w:val="24"/>
        </w:rPr>
        <w:t>60ºC, savukārt</w:t>
      </w:r>
      <w:r w:rsidRPr="00C22233">
        <w:rPr>
          <w:rFonts w:ascii="Times New Roman" w:hAnsi="Times New Roman" w:cs="Times New Roman"/>
          <w:sz w:val="24"/>
          <w:szCs w:val="24"/>
        </w:rPr>
        <w:t xml:space="preserve"> pārbaudot informāciju ražotāja </w:t>
      </w:r>
      <w:proofErr w:type="spellStart"/>
      <w:r w:rsidRPr="00C22233">
        <w:rPr>
          <w:rFonts w:ascii="Times New Roman" w:hAnsi="Times New Roman" w:cs="Times New Roman"/>
          <w:sz w:val="24"/>
          <w:szCs w:val="24"/>
        </w:rPr>
        <w:t>Nostra</w:t>
      </w:r>
      <w:proofErr w:type="spellEnd"/>
      <w:r w:rsidRPr="00C22233">
        <w:rPr>
          <w:rFonts w:ascii="Times New Roman" w:hAnsi="Times New Roman" w:cs="Times New Roman"/>
          <w:sz w:val="24"/>
          <w:szCs w:val="24"/>
        </w:rPr>
        <w:t xml:space="preserve"> mājas lapā, komisija konstatē, ka ražotājs piedāvā šāda tipa spilvenus ar mazgāšanas temperatūras norādi līdz </w:t>
      </w:r>
      <w:r w:rsidRPr="00C22233">
        <w:rPr>
          <w:rFonts w:ascii="Times New Roman" w:eastAsia="Calibri" w:hAnsi="Times New Roman" w:cs="Times New Roman"/>
          <w:sz w:val="24"/>
          <w:szCs w:val="24"/>
        </w:rPr>
        <w:t xml:space="preserve">40ºC. Ņemot vērā to, ka </w:t>
      </w:r>
      <w:r w:rsidRPr="00C22233">
        <w:rPr>
          <w:rFonts w:ascii="Times New Roman" w:hAnsi="Times New Roman" w:cs="Times New Roman"/>
          <w:sz w:val="24"/>
          <w:szCs w:val="24"/>
        </w:rPr>
        <w:t xml:space="preserve">pretendenta SIA “DMT GROUP” tehniskais piedāvājums </w:t>
      </w:r>
      <w:r w:rsidRPr="00C22233">
        <w:rPr>
          <w:rFonts w:ascii="Times New Roman" w:eastAsia="Calibri" w:hAnsi="Times New Roman" w:cs="Times New Roman"/>
          <w:sz w:val="24"/>
          <w:szCs w:val="24"/>
        </w:rPr>
        <w:t xml:space="preserve">2.pozīcijā “Spilvens” ir </w:t>
      </w:r>
      <w:r w:rsidRPr="00C22233">
        <w:rPr>
          <w:rFonts w:ascii="Times New Roman" w:eastAsia="Calibri" w:hAnsi="Times New Roman" w:cs="Times New Roman"/>
          <w:b/>
          <w:sz w:val="24"/>
          <w:szCs w:val="24"/>
        </w:rPr>
        <w:t xml:space="preserve">neatbilstošs </w:t>
      </w:r>
      <w:r w:rsidRPr="00C22233">
        <w:rPr>
          <w:rFonts w:ascii="Times New Roman" w:eastAsia="Calibri" w:hAnsi="Times New Roman" w:cs="Times New Roman"/>
          <w:sz w:val="24"/>
          <w:szCs w:val="24"/>
        </w:rPr>
        <w:t xml:space="preserve">tehniskās specifikācijas </w:t>
      </w:r>
      <w:r w:rsidRPr="00E6344B">
        <w:rPr>
          <w:rFonts w:ascii="Times New Roman" w:eastAsia="Calibri" w:hAnsi="Times New Roman" w:cs="Times New Roman"/>
          <w:sz w:val="24"/>
          <w:szCs w:val="24"/>
        </w:rPr>
        <w:t xml:space="preserve">prasībām, komisija nolemj neuzdot </w:t>
      </w:r>
      <w:r w:rsidRPr="00E6344B">
        <w:rPr>
          <w:rFonts w:ascii="Times New Roman" w:hAnsi="Times New Roman" w:cs="Times New Roman"/>
          <w:sz w:val="24"/>
          <w:szCs w:val="24"/>
        </w:rPr>
        <w:t xml:space="preserve">pretendentam SIA “DMT GROUP” precizējušu informāciju par mazgāšanas temperatūru 5.pozīcijā un 6.pozīcijā “Frotē dvielis” piedāvātai precei. </w:t>
      </w:r>
      <w:r w:rsidR="00E6344B" w:rsidRPr="00E6344B">
        <w:rPr>
          <w:rFonts w:ascii="Times New Roman" w:hAnsi="Times New Roman" w:cs="Times New Roman"/>
          <w:sz w:val="24"/>
          <w:szCs w:val="24"/>
        </w:rPr>
        <w:t xml:space="preserve">Komisija, pamatojoties uz Iepirkuma nolikuma 7.6.punktu, nolēma turpmāk nevērtēt pretendenta SIA “DMT GROUP” iesniegto piedāvājumu, jo tas ir Iepirkuma nolikuma tehniskās specifikācijas prasībām </w:t>
      </w:r>
      <w:r w:rsidR="00E6344B" w:rsidRPr="00E6344B">
        <w:rPr>
          <w:rFonts w:ascii="Times New Roman" w:hAnsi="Times New Roman" w:cs="Times New Roman"/>
          <w:b/>
          <w:sz w:val="24"/>
          <w:szCs w:val="24"/>
        </w:rPr>
        <w:t xml:space="preserve">neatbilstošs </w:t>
      </w:r>
      <w:r w:rsidR="00E6344B" w:rsidRPr="00E6344B">
        <w:rPr>
          <w:rFonts w:ascii="Times New Roman" w:hAnsi="Times New Roman" w:cs="Times New Roman"/>
          <w:sz w:val="24"/>
          <w:szCs w:val="24"/>
        </w:rPr>
        <w:t>piedāvājums un izslēdza pretendentu SIA “DMT GROUP” no turpmākās dalības Iepirkumā.</w:t>
      </w:r>
    </w:p>
    <w:p w:rsidR="00C22233" w:rsidRDefault="00E6344B" w:rsidP="00E6344B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2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Komisija pārbaudīja un konstatēja, ka </w:t>
      </w:r>
      <w:r w:rsidRPr="00900EA0">
        <w:rPr>
          <w:rFonts w:ascii="Times New Roman" w:hAnsi="Times New Roman" w:cs="Times New Roman"/>
          <w:sz w:val="24"/>
          <w:szCs w:val="24"/>
        </w:rPr>
        <w:t xml:space="preserve">pretendents SIA “PRĀNA Ko” </w:t>
      </w:r>
      <w:r w:rsidRPr="00900EA0">
        <w:rPr>
          <w:rFonts w:ascii="Times New Roman" w:eastAsia="Calibri" w:hAnsi="Times New Roman" w:cs="Times New Roman"/>
          <w:sz w:val="24"/>
          <w:szCs w:val="24"/>
        </w:rPr>
        <w:t xml:space="preserve">tehniskajā piedāvājumā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00EA0">
        <w:rPr>
          <w:rFonts w:ascii="Times New Roman" w:eastAsia="Calibri" w:hAnsi="Times New Roman" w:cs="Times New Roman"/>
          <w:sz w:val="24"/>
          <w:szCs w:val="24"/>
        </w:rPr>
        <w:t>.pozīcijā “S</w:t>
      </w:r>
      <w:r>
        <w:rPr>
          <w:rFonts w:ascii="Times New Roman" w:eastAsia="Calibri" w:hAnsi="Times New Roman" w:cs="Times New Roman"/>
          <w:sz w:val="24"/>
          <w:szCs w:val="24"/>
        </w:rPr>
        <w:t>ega</w:t>
      </w:r>
      <w:r w:rsidRPr="00900EA0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ir norādījis, ka piedāvātās preces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virsaudums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52% kokvilna, 48% poliesters un krāsa: balta un 2.pozīcijā “Spilvens” krāsa: balta, Savukārt tehniskās specifikācijas prasība 1</w:t>
      </w:r>
      <w:r w:rsidRPr="00900EA0">
        <w:rPr>
          <w:rFonts w:ascii="Times New Roman" w:eastAsia="Calibri" w:hAnsi="Times New Roman" w:cs="Times New Roman"/>
          <w:sz w:val="24"/>
          <w:szCs w:val="24"/>
        </w:rPr>
        <w:t>.pozīcijā “S</w:t>
      </w:r>
      <w:r>
        <w:rPr>
          <w:rFonts w:ascii="Times New Roman" w:eastAsia="Calibri" w:hAnsi="Times New Roman" w:cs="Times New Roman"/>
          <w:sz w:val="24"/>
          <w:szCs w:val="24"/>
        </w:rPr>
        <w:t>ega</w:t>
      </w:r>
      <w:r w:rsidRPr="00900EA0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ir noteikta “materiāls pārvalkam: 65% poliesteris (±5%), 35% kokvilna (±5%), krāsa: </w:t>
      </w:r>
      <w:r w:rsidRPr="00900EA0">
        <w:rPr>
          <w:rFonts w:ascii="Times New Roman" w:eastAsia="Calibri" w:hAnsi="Times New Roman" w:cs="Times New Roman"/>
          <w:sz w:val="24"/>
          <w:szCs w:val="24"/>
        </w:rPr>
        <w:t>balta, bēša vai pelēka, saskaņojot ar pasūtītāju</w:t>
      </w:r>
      <w:r>
        <w:rPr>
          <w:rFonts w:ascii="Times New Roman" w:eastAsia="Calibri" w:hAnsi="Times New Roman" w:cs="Times New Roman"/>
          <w:sz w:val="24"/>
          <w:szCs w:val="24"/>
        </w:rPr>
        <w:t>” un 2.pozīcijā “Spilvens”</w:t>
      </w:r>
      <w:r w:rsidRPr="00200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ir noteikta tehniskās specifikācijas prasība “krāsa: </w:t>
      </w:r>
      <w:r w:rsidRPr="00900EA0">
        <w:rPr>
          <w:rFonts w:ascii="Times New Roman" w:eastAsia="Calibri" w:hAnsi="Times New Roman" w:cs="Times New Roman"/>
          <w:sz w:val="24"/>
          <w:szCs w:val="24"/>
        </w:rPr>
        <w:t>balta, bēša vai pelēka, saskaņojot ar pasūtītāju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. Komisija nolemj, ka </w:t>
      </w:r>
      <w:r>
        <w:rPr>
          <w:rFonts w:ascii="Times New Roman" w:hAnsi="Times New Roman" w:cs="Times New Roman"/>
          <w:sz w:val="24"/>
          <w:szCs w:val="24"/>
        </w:rPr>
        <w:t>pretendenta</w:t>
      </w:r>
      <w:r w:rsidRPr="00900EA0">
        <w:rPr>
          <w:rFonts w:ascii="Times New Roman" w:hAnsi="Times New Roman" w:cs="Times New Roman"/>
          <w:sz w:val="24"/>
          <w:szCs w:val="24"/>
        </w:rPr>
        <w:t xml:space="preserve"> SIA “PRĀNA Ko”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EA0">
        <w:rPr>
          <w:rFonts w:ascii="Times New Roman" w:hAnsi="Times New Roman" w:cs="Times New Roman"/>
          <w:sz w:val="24"/>
          <w:szCs w:val="24"/>
        </w:rPr>
        <w:t xml:space="preserve">tehniskais piedāvājums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0EA0">
        <w:rPr>
          <w:rFonts w:ascii="Times New Roman" w:eastAsia="Calibri" w:hAnsi="Times New Roman" w:cs="Times New Roman"/>
          <w:sz w:val="24"/>
          <w:szCs w:val="24"/>
        </w:rPr>
        <w:t>.pozīcijā “Spilvens”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 2.pozīcijā “Sega”</w:t>
      </w:r>
      <w:r w:rsidRPr="00900EA0"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r w:rsidRPr="00900EA0">
        <w:rPr>
          <w:rFonts w:ascii="Times New Roman" w:eastAsia="Calibri" w:hAnsi="Times New Roman" w:cs="Times New Roman"/>
          <w:b/>
          <w:sz w:val="24"/>
          <w:szCs w:val="24"/>
        </w:rPr>
        <w:t xml:space="preserve">neatbilstošs </w:t>
      </w:r>
      <w:r w:rsidRPr="00900EA0">
        <w:rPr>
          <w:rFonts w:ascii="Times New Roman" w:eastAsia="Calibri" w:hAnsi="Times New Roman" w:cs="Times New Roman"/>
          <w:sz w:val="24"/>
          <w:szCs w:val="24"/>
        </w:rPr>
        <w:t>tehniskās specifikācijas prasībām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6344B">
        <w:rPr>
          <w:rFonts w:ascii="Times New Roman" w:hAnsi="Times New Roman" w:cs="Times New Roman"/>
          <w:sz w:val="24"/>
          <w:szCs w:val="24"/>
        </w:rPr>
        <w:t xml:space="preserve"> Komisija, pamatojoties uz Iepirkuma nolikuma 7.6.punktu, nolēma turpmāk nevērtēt pretendenta SIA “</w:t>
      </w:r>
      <w:r w:rsidRPr="00900EA0">
        <w:rPr>
          <w:rFonts w:ascii="Times New Roman" w:hAnsi="Times New Roman" w:cs="Times New Roman"/>
          <w:sz w:val="24"/>
          <w:szCs w:val="24"/>
        </w:rPr>
        <w:t>PRĀNA Ko</w:t>
      </w:r>
      <w:r w:rsidRPr="00E6344B">
        <w:rPr>
          <w:rFonts w:ascii="Times New Roman" w:hAnsi="Times New Roman" w:cs="Times New Roman"/>
          <w:sz w:val="24"/>
          <w:szCs w:val="24"/>
        </w:rPr>
        <w:t xml:space="preserve">” iesniegto piedāvājumu, jo tas ir Iepirkuma nolikuma tehniskās specifikācijas prasībām </w:t>
      </w:r>
      <w:r w:rsidRPr="00E6344B">
        <w:rPr>
          <w:rFonts w:ascii="Times New Roman" w:hAnsi="Times New Roman" w:cs="Times New Roman"/>
          <w:b/>
          <w:sz w:val="24"/>
          <w:szCs w:val="24"/>
        </w:rPr>
        <w:t xml:space="preserve">neatbilstošs </w:t>
      </w:r>
      <w:r w:rsidRPr="00E6344B">
        <w:rPr>
          <w:rFonts w:ascii="Times New Roman" w:hAnsi="Times New Roman" w:cs="Times New Roman"/>
          <w:sz w:val="24"/>
          <w:szCs w:val="24"/>
        </w:rPr>
        <w:t>piedāvājums un izslēdza pretendentu SIA “</w:t>
      </w:r>
      <w:r w:rsidRPr="00900EA0">
        <w:rPr>
          <w:rFonts w:ascii="Times New Roman" w:hAnsi="Times New Roman" w:cs="Times New Roman"/>
          <w:sz w:val="24"/>
          <w:szCs w:val="24"/>
        </w:rPr>
        <w:t>PRĀNA Ko</w:t>
      </w:r>
      <w:r w:rsidRPr="00E6344B">
        <w:rPr>
          <w:rFonts w:ascii="Times New Roman" w:hAnsi="Times New Roman" w:cs="Times New Roman"/>
          <w:sz w:val="24"/>
          <w:szCs w:val="24"/>
        </w:rPr>
        <w:t>” no turpmākās dalības Iepirkumā.</w:t>
      </w:r>
    </w:p>
    <w:p w:rsidR="00E6344B" w:rsidRPr="00C47CA9" w:rsidRDefault="00E15602" w:rsidP="00E6344B">
      <w:pPr>
        <w:keepNext/>
        <w:keepLines/>
        <w:spacing w:before="120"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Komisija</w:t>
      </w:r>
      <w:r w:rsidRPr="00A925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564E">
        <w:rPr>
          <w:rFonts w:ascii="Times New Roman" w:eastAsia="Calibri" w:hAnsi="Times New Roman" w:cs="Times New Roman"/>
          <w:sz w:val="24"/>
          <w:szCs w:val="24"/>
        </w:rPr>
        <w:t>pārbaud</w:t>
      </w:r>
      <w:r>
        <w:rPr>
          <w:rFonts w:ascii="Times New Roman" w:eastAsia="Calibri" w:hAnsi="Times New Roman" w:cs="Times New Roman"/>
          <w:sz w:val="24"/>
          <w:szCs w:val="24"/>
        </w:rPr>
        <w:t>īja</w:t>
      </w:r>
      <w:r w:rsidRPr="00BD564E">
        <w:rPr>
          <w:rFonts w:ascii="Times New Roman" w:eastAsia="Calibri" w:hAnsi="Times New Roman" w:cs="Times New Roman"/>
          <w:sz w:val="24"/>
          <w:szCs w:val="24"/>
        </w:rPr>
        <w:t xml:space="preserve"> un konstatē</w:t>
      </w:r>
      <w:r>
        <w:rPr>
          <w:rFonts w:ascii="Times New Roman" w:eastAsia="Calibri" w:hAnsi="Times New Roman" w:cs="Times New Roman"/>
          <w:sz w:val="24"/>
          <w:szCs w:val="24"/>
        </w:rPr>
        <w:t>ja</w:t>
      </w:r>
      <w:r w:rsidRPr="00BD564E">
        <w:rPr>
          <w:rFonts w:ascii="Times New Roman" w:eastAsia="Calibri" w:hAnsi="Times New Roman" w:cs="Times New Roman"/>
          <w:sz w:val="24"/>
          <w:szCs w:val="24"/>
        </w:rPr>
        <w:t>, ka</w:t>
      </w:r>
      <w:r w:rsidRPr="00BD56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564E">
        <w:rPr>
          <w:rFonts w:ascii="Times New Roman" w:eastAsia="Calibri" w:hAnsi="Times New Roman" w:cs="Times New Roman"/>
          <w:sz w:val="24"/>
          <w:szCs w:val="24"/>
        </w:rPr>
        <w:t xml:space="preserve">pretendenta </w:t>
      </w:r>
      <w:r w:rsidRPr="00A925B6">
        <w:rPr>
          <w:rFonts w:ascii="Times New Roman" w:hAnsi="Times New Roman" w:cs="Times New Roman"/>
          <w:sz w:val="24"/>
          <w:szCs w:val="24"/>
        </w:rPr>
        <w:t>SIA “</w:t>
      </w:r>
      <w:proofErr w:type="spellStart"/>
      <w:r w:rsidR="00E6344B" w:rsidRPr="00C47CA9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BD564E">
        <w:rPr>
          <w:rFonts w:ascii="Times New Roman" w:eastAsia="Calibri" w:hAnsi="Times New Roman" w:cs="Times New Roman"/>
          <w:sz w:val="24"/>
          <w:szCs w:val="24"/>
        </w:rPr>
        <w:t>finanšu piedāvājumā</w:t>
      </w:r>
      <w:r>
        <w:rPr>
          <w:rFonts w:ascii="Times New Roman" w:eastAsia="Calibri" w:hAnsi="Times New Roman" w:cs="Times New Roman"/>
          <w:sz w:val="24"/>
          <w:szCs w:val="24"/>
        </w:rPr>
        <w:t xml:space="preserve"> Iepirkumā ir aritmētiskās kļūdas un nolēma tās labot</w:t>
      </w:r>
      <w:r w:rsidR="00A03E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344B" w:rsidRPr="00C47CA9">
        <w:rPr>
          <w:rFonts w:ascii="Times New Roman" w:eastAsia="Calibri" w:hAnsi="Times New Roman" w:cs="Times New Roman"/>
          <w:sz w:val="24"/>
          <w:szCs w:val="24"/>
        </w:rPr>
        <w:t>konstatē</w:t>
      </w:r>
      <w:r w:rsidR="00A03EC9">
        <w:rPr>
          <w:rFonts w:ascii="Times New Roman" w:eastAsia="Calibri" w:hAnsi="Times New Roman" w:cs="Times New Roman"/>
          <w:sz w:val="24"/>
          <w:szCs w:val="24"/>
        </w:rPr>
        <w:t>jot</w:t>
      </w:r>
      <w:r w:rsidR="00E6344B" w:rsidRPr="00C47CA9">
        <w:rPr>
          <w:rFonts w:ascii="Times New Roman" w:eastAsia="Calibri" w:hAnsi="Times New Roman" w:cs="Times New Roman"/>
          <w:sz w:val="24"/>
          <w:szCs w:val="24"/>
        </w:rPr>
        <w:t>, ka kopējā piedāvātā cena par visām pozīcijām kopā ir “</w:t>
      </w:r>
      <w:r w:rsidR="00E6344B" w:rsidRPr="00C47CA9">
        <w:rPr>
          <w:rFonts w:ascii="Times New Roman" w:eastAsia="Calibri" w:hAnsi="Times New Roman" w:cs="Times New Roman"/>
          <w:b/>
          <w:sz w:val="24"/>
          <w:szCs w:val="24"/>
        </w:rPr>
        <w:t>28940,80</w:t>
      </w:r>
      <w:r w:rsidR="00E6344B" w:rsidRPr="00C47CA9">
        <w:rPr>
          <w:rFonts w:ascii="Times New Roman" w:eastAsia="Calibri" w:hAnsi="Times New Roman" w:cs="Times New Roman"/>
          <w:sz w:val="24"/>
          <w:szCs w:val="24"/>
        </w:rPr>
        <w:t xml:space="preserve">” un kopā ar piemērojamo atlaidi 5%, pretendenta </w:t>
      </w:r>
      <w:r w:rsidR="00E6344B" w:rsidRPr="00C47CA9">
        <w:rPr>
          <w:rFonts w:ascii="Times New Roman" w:hAnsi="Times New Roman" w:cs="Times New Roman"/>
          <w:sz w:val="24"/>
          <w:szCs w:val="24"/>
        </w:rPr>
        <w:t>SIA “</w:t>
      </w:r>
      <w:proofErr w:type="spellStart"/>
      <w:r w:rsidR="00E6344B" w:rsidRPr="00C47CA9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="00E6344B" w:rsidRPr="00C47CA9">
        <w:rPr>
          <w:rFonts w:ascii="Times New Roman" w:hAnsi="Times New Roman" w:cs="Times New Roman"/>
          <w:sz w:val="24"/>
          <w:szCs w:val="24"/>
        </w:rPr>
        <w:t>” piedāvātā vērtējamā cena ir “</w:t>
      </w:r>
      <w:r w:rsidR="00E6344B" w:rsidRPr="00C47CA9">
        <w:rPr>
          <w:rFonts w:ascii="Times New Roman" w:hAnsi="Times New Roman" w:cs="Times New Roman"/>
          <w:b/>
          <w:sz w:val="24"/>
          <w:szCs w:val="24"/>
        </w:rPr>
        <w:t>27493,76</w:t>
      </w:r>
      <w:r w:rsidR="00E6344B" w:rsidRPr="00C47CA9">
        <w:rPr>
          <w:rFonts w:ascii="Times New Roman" w:hAnsi="Times New Roman" w:cs="Times New Roman"/>
          <w:sz w:val="24"/>
          <w:szCs w:val="24"/>
        </w:rPr>
        <w:t>”.</w:t>
      </w:r>
    </w:p>
    <w:p w:rsidR="00E15602" w:rsidRPr="00E15602" w:rsidRDefault="00E15602" w:rsidP="00E6344B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64E">
        <w:rPr>
          <w:rFonts w:ascii="Times New Roman" w:hAnsi="Times New Roman" w:cs="Times New Roman"/>
          <w:bCs/>
          <w:sz w:val="24"/>
          <w:szCs w:val="24"/>
        </w:rPr>
        <w:t xml:space="preserve">Komisija </w:t>
      </w:r>
      <w:r>
        <w:rPr>
          <w:rFonts w:ascii="Times New Roman" w:hAnsi="Times New Roman" w:cs="Times New Roman"/>
          <w:bCs/>
          <w:sz w:val="24"/>
          <w:szCs w:val="24"/>
        </w:rPr>
        <w:t>veica</w:t>
      </w:r>
      <w:r w:rsidRPr="00BD564E">
        <w:rPr>
          <w:rFonts w:ascii="Times New Roman" w:hAnsi="Times New Roman" w:cs="Times New Roman"/>
          <w:bCs/>
          <w:sz w:val="24"/>
          <w:szCs w:val="24"/>
        </w:rPr>
        <w:t xml:space="preserve"> saimnieciski visizdevīgākā piedāvājuma aprēķinu saskaņā ar Iepirkuma nolikuma 5.punktā noteiktiem vērtēšanas kritērijiem.</w:t>
      </w:r>
    </w:p>
    <w:p w:rsidR="00E15602" w:rsidRPr="003F7349" w:rsidRDefault="00E15602" w:rsidP="00E6344B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64E">
        <w:rPr>
          <w:rFonts w:ascii="Times New Roman" w:hAnsi="Times New Roman" w:cs="Times New Roman"/>
          <w:sz w:val="24"/>
          <w:szCs w:val="24"/>
        </w:rPr>
        <w:t>Balstoties uz komisijas locekļu individuālo vērtējumu kopsavilkum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BD56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BD564E">
        <w:rPr>
          <w:rFonts w:ascii="Times New Roman" w:hAnsi="Times New Roman" w:cs="Times New Roman"/>
          <w:sz w:val="24"/>
          <w:szCs w:val="24"/>
        </w:rPr>
        <w:t>noteikts šāds punktu skaits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102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843"/>
        <w:gridCol w:w="958"/>
        <w:gridCol w:w="1470"/>
        <w:gridCol w:w="1223"/>
        <w:gridCol w:w="1276"/>
        <w:gridCol w:w="1611"/>
        <w:gridCol w:w="1418"/>
      </w:tblGrid>
      <w:tr w:rsidR="00E6344B" w:rsidRPr="00C47CA9" w:rsidTr="00E964C4">
        <w:trPr>
          <w:jc w:val="center"/>
        </w:trPr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9D57B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D57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Vērtēšanas kritērijs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9D57B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D57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Punkti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C47CA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47CA9">
              <w:rPr>
                <w:rFonts w:ascii="Times New Roman" w:hAnsi="Times New Roman" w:cs="Times New Roman"/>
                <w:b/>
                <w:sz w:val="20"/>
                <w:szCs w:val="20"/>
              </w:rPr>
              <w:t>SIA “MAGGI</w:t>
            </w:r>
            <w:r w:rsidRPr="00C47C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C47CA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47C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SIA “</w:t>
            </w:r>
            <w:r w:rsidRPr="00C47CA9">
              <w:rPr>
                <w:rFonts w:ascii="Times New Roman" w:hAnsi="Times New Roman" w:cs="Times New Roman"/>
                <w:b/>
                <w:sz w:val="20"/>
                <w:szCs w:val="20"/>
              </w:rPr>
              <w:t>AUSTD</w:t>
            </w:r>
            <w:r w:rsidRPr="00C47C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C47CA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47C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SIA “</w:t>
            </w:r>
            <w:r w:rsidRPr="00C47CA9">
              <w:rPr>
                <w:rFonts w:ascii="Times New Roman" w:hAnsi="Times New Roman" w:cs="Times New Roman"/>
                <w:b/>
                <w:sz w:val="20"/>
                <w:szCs w:val="20"/>
              </w:rPr>
              <w:t>EGLE RIS”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C47CA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47CA9">
              <w:rPr>
                <w:rFonts w:ascii="Times New Roman" w:hAnsi="Times New Roman" w:cs="Times New Roman"/>
                <w:b/>
                <w:sz w:val="20"/>
                <w:szCs w:val="20"/>
              </w:rPr>
              <w:t>SIA “KATŪNS”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C47CA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47CA9">
              <w:rPr>
                <w:rFonts w:ascii="Times New Roman" w:hAnsi="Times New Roman" w:cs="Times New Roman"/>
                <w:b/>
                <w:sz w:val="20"/>
                <w:szCs w:val="20"/>
              </w:rPr>
              <w:t>SIA “</w:t>
            </w:r>
            <w:proofErr w:type="spellStart"/>
            <w:r w:rsidRPr="00C47CA9">
              <w:rPr>
                <w:rFonts w:ascii="Times New Roman" w:hAnsi="Times New Roman" w:cs="Times New Roman"/>
                <w:b/>
                <w:sz w:val="20"/>
                <w:szCs w:val="20"/>
              </w:rPr>
              <w:t>Intelligence</w:t>
            </w:r>
            <w:proofErr w:type="spellEnd"/>
            <w:r w:rsidRPr="00C47CA9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E6344B" w:rsidRPr="00C47CA9" w:rsidTr="00E964C4">
        <w:trPr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9D57B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D57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9D57B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D57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Piedāvāta cena par visu nepieciešamo apjomu (ar piedāvāto atlaidi) pirmreizējam pasūtījumam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9D57B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D57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C47CA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47CA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63.17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C47CA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47CA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69.38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C47CA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47CA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70.00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C47CA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47CA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64.46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C47CA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47CA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29.12</w:t>
            </w:r>
          </w:p>
        </w:tc>
      </w:tr>
      <w:tr w:rsidR="00E6344B" w:rsidRPr="00C47CA9" w:rsidTr="00E964C4">
        <w:trPr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9D57B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D57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9D57B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D57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Piedāvāta cena par visām pozīcijām kopā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9D57B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D57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C47CA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47CA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26.60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C47CA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47CA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C47CA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47CA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29.82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C47CA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47CA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26.03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C47CA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47CA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11.31</w:t>
            </w:r>
          </w:p>
        </w:tc>
      </w:tr>
      <w:tr w:rsidR="00E6344B" w:rsidRPr="00C47CA9" w:rsidTr="00E964C4">
        <w:trPr>
          <w:jc w:val="center"/>
        </w:trPr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9D57B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D57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 (A + B):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9D57B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D57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C47CA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47CA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89.77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C47CA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47CA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99.38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C47CA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47CA9"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lv-LV"/>
              </w:rPr>
              <w:t>99.82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C47CA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47CA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90.50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B" w:rsidRPr="00C47CA9" w:rsidRDefault="00E6344B" w:rsidP="00E964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47CA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40.42</w:t>
            </w:r>
          </w:p>
        </w:tc>
      </w:tr>
    </w:tbl>
    <w:p w:rsidR="00E6344B" w:rsidRPr="00E6344B" w:rsidRDefault="00E6344B" w:rsidP="00E6344B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CA9">
        <w:rPr>
          <w:rFonts w:ascii="Times New Roman" w:eastAsia="Calibri" w:hAnsi="Times New Roman" w:cs="Times New Roman"/>
          <w:sz w:val="24"/>
          <w:szCs w:val="24"/>
        </w:rPr>
        <w:t xml:space="preserve">Komisija konstatē, ka par saimnieciski visizdevīgāko piedāvājumu atzīstams SIA “EGLE RIS” piedāvājums ar kopējo punktu skaitu </w:t>
      </w:r>
      <w:r w:rsidRPr="00C47CA9">
        <w:rPr>
          <w:rFonts w:ascii="Times New Roman" w:eastAsia="Calibri" w:hAnsi="Times New Roman" w:cs="Times New Roman"/>
          <w:b/>
          <w:sz w:val="24"/>
          <w:szCs w:val="24"/>
        </w:rPr>
        <w:t xml:space="preserve">99,82 </w:t>
      </w:r>
      <w:r w:rsidRPr="00C47CA9">
        <w:rPr>
          <w:rFonts w:ascii="Times New Roman" w:eastAsia="Calibri" w:hAnsi="Times New Roman" w:cs="Times New Roman"/>
          <w:sz w:val="24"/>
          <w:szCs w:val="24"/>
        </w:rPr>
        <w:t>punkti.</w:t>
      </w:r>
    </w:p>
    <w:p w:rsidR="00F42DE4" w:rsidRPr="000707D3" w:rsidRDefault="002500BE" w:rsidP="00E6344B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C7A">
        <w:rPr>
          <w:rFonts w:ascii="Times New Roman" w:hAnsi="Times New Roman" w:cs="Times New Roman"/>
          <w:b/>
          <w:sz w:val="24"/>
          <w:szCs w:val="24"/>
        </w:rPr>
        <w:t>Iepirkuma komisija</w:t>
      </w:r>
      <w:r w:rsidR="00B361E4" w:rsidRPr="00BD0C7A">
        <w:rPr>
          <w:rFonts w:ascii="Times New Roman" w:hAnsi="Times New Roman" w:cs="Times New Roman"/>
          <w:b/>
          <w:sz w:val="24"/>
          <w:szCs w:val="24"/>
        </w:rPr>
        <w:t>:</w:t>
      </w:r>
      <w:r w:rsidRPr="00BD0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67A" w:rsidRPr="00E0567A" w:rsidRDefault="00105F2F" w:rsidP="00E6344B">
      <w:pPr>
        <w:pStyle w:val="Heading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567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Nolēma, </w:t>
      </w:r>
      <w:r w:rsidR="00E6344B" w:rsidRPr="00E6344B">
        <w:rPr>
          <w:rFonts w:ascii="Times New Roman" w:hAnsi="Times New Roman" w:cs="Times New Roman"/>
          <w:b w:val="0"/>
          <w:color w:val="auto"/>
          <w:sz w:val="24"/>
          <w:szCs w:val="24"/>
        </w:rPr>
        <w:t>pamatojoties uz PIL 9.panta trīspadsmito daļu un Iepirkuma nolikuma 6.1.punktu, nolemj Iepirkumā līguma slēgšanas tiesības piešķirt sabiedrībai ar ierobežotu atbildību "EGLE RIS", reģistrācijas Nr.</w:t>
      </w:r>
      <w:r w:rsidR="00E6344B" w:rsidRPr="00E6344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40103756047</w:t>
      </w:r>
      <w:r w:rsidR="00E6344B" w:rsidRPr="00E6344B">
        <w:rPr>
          <w:rFonts w:ascii="Times New Roman" w:hAnsi="Times New Roman" w:cs="Times New Roman"/>
          <w:b w:val="0"/>
          <w:color w:val="auto"/>
          <w:sz w:val="24"/>
          <w:szCs w:val="24"/>
        </w:rPr>
        <w:t>, juridiskā adrese Ozolciema 12/3-5, Rīga, LV-1058</w:t>
      </w:r>
      <w:r w:rsidR="00E6344B" w:rsidRPr="00E6344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. Līgums tiks slēgts uz </w:t>
      </w:r>
      <w:r w:rsidR="00E6344B" w:rsidRPr="00E634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 (divpadsmit) mēnešiem no līguma spēkā stāšanas dienas vai līdz līguma summas 33 000,00 EUR (trīsdesmit trīs tūkstoši </w:t>
      </w:r>
      <w:proofErr w:type="spellStart"/>
      <w:r w:rsidR="00E6344B" w:rsidRPr="00E6344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euro</w:t>
      </w:r>
      <w:proofErr w:type="spellEnd"/>
      <w:r w:rsidR="00E6344B" w:rsidRPr="00E634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un 00 centi) bez PVN apguvei, atkarībā no tā, kurš nosacījums iestāsies pirmais.</w:t>
      </w:r>
      <w:r w:rsidR="00E6344B" w:rsidRPr="00E6344B">
        <w:rPr>
          <w:rFonts w:ascii="Times New Roman" w:hAnsi="Times New Roman" w:cs="Times New Roman"/>
          <w:b w:val="0"/>
          <w:color w:val="auto"/>
        </w:rPr>
        <w:t xml:space="preserve"> </w:t>
      </w:r>
      <w:r w:rsidR="00E6344B" w:rsidRPr="00E6344B">
        <w:rPr>
          <w:rFonts w:ascii="Times New Roman" w:hAnsi="Times New Roman" w:cs="Times New Roman"/>
          <w:b w:val="0"/>
          <w:color w:val="auto"/>
          <w:sz w:val="24"/>
          <w:szCs w:val="24"/>
        </w:rPr>
        <w:t>Gadījumā, ja līgumcena 12 (divpadsmit) mēnešu laikā nav apgūta, puses vienojoties var pagarināt līguma darbības laiku līdz līgumcenas sasniegšanai, bet ne vairāk kā uz 12 (divpadsmit) mēnešiem.</w:t>
      </w:r>
    </w:p>
    <w:p w:rsidR="00A70D9B" w:rsidRDefault="00A70D9B" w:rsidP="00E6344B">
      <w:pPr>
        <w:pStyle w:val="ListParagraph"/>
        <w:keepNext/>
        <w:keepLines/>
        <w:ind w:left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361E4" w:rsidRPr="00D35B1F" w:rsidRDefault="00341504" w:rsidP="00E6344B">
      <w:pPr>
        <w:pStyle w:val="ListParagraph"/>
        <w:keepNext/>
        <w:keepLines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35B1F">
        <w:rPr>
          <w:rFonts w:ascii="Times New Roman" w:hAnsi="Times New Roman" w:cs="Times New Roman"/>
          <w:sz w:val="18"/>
          <w:szCs w:val="18"/>
        </w:rPr>
        <w:t>Paziņojumu sagatavoja:</w:t>
      </w:r>
    </w:p>
    <w:p w:rsidR="00341504" w:rsidRPr="00D35B1F" w:rsidRDefault="00967DE9" w:rsidP="00E6344B">
      <w:pPr>
        <w:pStyle w:val="ListParagraph"/>
        <w:keepNext/>
        <w:keepLines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Faizuļļina, 67</w:t>
      </w:r>
      <w:r w:rsidR="00E0567A">
        <w:rPr>
          <w:rFonts w:ascii="Times New Roman" w:hAnsi="Times New Roman" w:cs="Times New Roman"/>
          <w:iCs/>
          <w:sz w:val="18"/>
          <w:szCs w:val="18"/>
        </w:rPr>
        <w:t>060861</w:t>
      </w:r>
    </w:p>
    <w:p w:rsidR="00341504" w:rsidRPr="00D35B1F" w:rsidRDefault="00A03EC9" w:rsidP="00E6344B">
      <w:pPr>
        <w:pStyle w:val="ListParagraph"/>
        <w:keepNext/>
        <w:keepLines/>
        <w:ind w:left="0"/>
        <w:rPr>
          <w:rFonts w:ascii="Times New Roman" w:hAnsi="Times New Roman" w:cs="Times New Roman"/>
          <w:sz w:val="18"/>
          <w:szCs w:val="18"/>
        </w:rPr>
      </w:pPr>
      <w:hyperlink r:id="rId8" w:history="1">
        <w:r w:rsidR="00D50B7E" w:rsidRPr="00BF43E1">
          <w:rPr>
            <w:rStyle w:val="Hyperlink"/>
            <w:rFonts w:ascii="Times New Roman" w:hAnsi="Times New Roman" w:cs="Times New Roman"/>
            <w:iCs/>
            <w:sz w:val="18"/>
            <w:szCs w:val="18"/>
          </w:rPr>
          <w:t>Sjuzana.Faizullina@rsu.lv</w:t>
        </w:r>
      </w:hyperlink>
      <w:r w:rsidR="007D003B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sectPr w:rsidR="00341504" w:rsidRPr="00D35B1F" w:rsidSect="00A565C7">
      <w:headerReference w:type="default" r:id="rId9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B1" w:rsidRDefault="005E10B1" w:rsidP="005E10B1">
      <w:pPr>
        <w:spacing w:after="0" w:line="240" w:lineRule="auto"/>
      </w:pPr>
      <w:r>
        <w:separator/>
      </w:r>
    </w:p>
  </w:endnote>
  <w:endnote w:type="continuationSeparator" w:id="0">
    <w:p w:rsidR="005E10B1" w:rsidRDefault="005E10B1" w:rsidP="005E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B1" w:rsidRDefault="005E10B1" w:rsidP="005E10B1">
      <w:pPr>
        <w:spacing w:after="0" w:line="240" w:lineRule="auto"/>
      </w:pPr>
      <w:r>
        <w:separator/>
      </w:r>
    </w:p>
  </w:footnote>
  <w:footnote w:type="continuationSeparator" w:id="0">
    <w:p w:rsidR="005E10B1" w:rsidRDefault="005E10B1" w:rsidP="005E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Default="005E10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80E"/>
    <w:multiLevelType w:val="multilevel"/>
    <w:tmpl w:val="F210D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/>
      </w:rPr>
    </w:lvl>
  </w:abstractNum>
  <w:abstractNum w:abstractNumId="1" w15:restartNumberingAfterBreak="0">
    <w:nsid w:val="0F171AFC"/>
    <w:multiLevelType w:val="hybridMultilevel"/>
    <w:tmpl w:val="C0842CB8"/>
    <w:lvl w:ilvl="0" w:tplc="E3167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24E43"/>
    <w:multiLevelType w:val="hybridMultilevel"/>
    <w:tmpl w:val="E146D8B6"/>
    <w:lvl w:ilvl="0" w:tplc="498E5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7F81"/>
    <w:multiLevelType w:val="hybridMultilevel"/>
    <w:tmpl w:val="4CE2DF40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F2E7C"/>
    <w:multiLevelType w:val="hybridMultilevel"/>
    <w:tmpl w:val="A35E00A0"/>
    <w:lvl w:ilvl="0" w:tplc="2DF2F94C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98623A4"/>
    <w:multiLevelType w:val="hybridMultilevel"/>
    <w:tmpl w:val="2704109E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D072FE8"/>
    <w:multiLevelType w:val="hybridMultilevel"/>
    <w:tmpl w:val="7682C2D6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E465D3E"/>
    <w:multiLevelType w:val="hybridMultilevel"/>
    <w:tmpl w:val="2704109E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6125198D"/>
    <w:multiLevelType w:val="hybridMultilevel"/>
    <w:tmpl w:val="BEA43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20DD5"/>
    <w:multiLevelType w:val="hybridMultilevel"/>
    <w:tmpl w:val="978A29B4"/>
    <w:lvl w:ilvl="0" w:tplc="498E5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B0EE3"/>
    <w:multiLevelType w:val="hybridMultilevel"/>
    <w:tmpl w:val="2704109E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77246664"/>
    <w:multiLevelType w:val="hybridMultilevel"/>
    <w:tmpl w:val="7682C2D6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77D5056E"/>
    <w:multiLevelType w:val="multilevel"/>
    <w:tmpl w:val="FF2035C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3C7C"/>
    <w:rsid w:val="000707D3"/>
    <w:rsid w:val="0008663D"/>
    <w:rsid w:val="00105F2F"/>
    <w:rsid w:val="00144493"/>
    <w:rsid w:val="001B00A4"/>
    <w:rsid w:val="0024598F"/>
    <w:rsid w:val="002500BE"/>
    <w:rsid w:val="00256955"/>
    <w:rsid w:val="002D3B46"/>
    <w:rsid w:val="002E6BF6"/>
    <w:rsid w:val="0032114F"/>
    <w:rsid w:val="00341504"/>
    <w:rsid w:val="00381BA5"/>
    <w:rsid w:val="00392F4F"/>
    <w:rsid w:val="003A6639"/>
    <w:rsid w:val="003C4676"/>
    <w:rsid w:val="003D6204"/>
    <w:rsid w:val="003F7349"/>
    <w:rsid w:val="0040714A"/>
    <w:rsid w:val="0045434B"/>
    <w:rsid w:val="004715A2"/>
    <w:rsid w:val="004A40FD"/>
    <w:rsid w:val="004C6363"/>
    <w:rsid w:val="00547987"/>
    <w:rsid w:val="005C44CD"/>
    <w:rsid w:val="005E10B1"/>
    <w:rsid w:val="00605EA6"/>
    <w:rsid w:val="0067479F"/>
    <w:rsid w:val="00684535"/>
    <w:rsid w:val="00693AF7"/>
    <w:rsid w:val="006A4546"/>
    <w:rsid w:val="006A4922"/>
    <w:rsid w:val="00704DB7"/>
    <w:rsid w:val="00730BE3"/>
    <w:rsid w:val="00734663"/>
    <w:rsid w:val="007A4395"/>
    <w:rsid w:val="007D003B"/>
    <w:rsid w:val="007F6381"/>
    <w:rsid w:val="008801E8"/>
    <w:rsid w:val="008D120A"/>
    <w:rsid w:val="00901D77"/>
    <w:rsid w:val="00906164"/>
    <w:rsid w:val="0091376C"/>
    <w:rsid w:val="009310D6"/>
    <w:rsid w:val="009316E3"/>
    <w:rsid w:val="00960392"/>
    <w:rsid w:val="00967DE9"/>
    <w:rsid w:val="009D725C"/>
    <w:rsid w:val="009E2E1E"/>
    <w:rsid w:val="00A03EC9"/>
    <w:rsid w:val="00A565C7"/>
    <w:rsid w:val="00A60B87"/>
    <w:rsid w:val="00A63BAD"/>
    <w:rsid w:val="00A70D9B"/>
    <w:rsid w:val="00AA533F"/>
    <w:rsid w:val="00AC4727"/>
    <w:rsid w:val="00B361E4"/>
    <w:rsid w:val="00B60E2F"/>
    <w:rsid w:val="00B81FC2"/>
    <w:rsid w:val="00BA5FD4"/>
    <w:rsid w:val="00BD0C7A"/>
    <w:rsid w:val="00BD4C58"/>
    <w:rsid w:val="00BE23DE"/>
    <w:rsid w:val="00C22233"/>
    <w:rsid w:val="00C244FB"/>
    <w:rsid w:val="00C52E5D"/>
    <w:rsid w:val="00CF59F5"/>
    <w:rsid w:val="00D35B1F"/>
    <w:rsid w:val="00D50B7E"/>
    <w:rsid w:val="00D65800"/>
    <w:rsid w:val="00D8478A"/>
    <w:rsid w:val="00DF299D"/>
    <w:rsid w:val="00E0567A"/>
    <w:rsid w:val="00E067CC"/>
    <w:rsid w:val="00E126F9"/>
    <w:rsid w:val="00E15602"/>
    <w:rsid w:val="00E57285"/>
    <w:rsid w:val="00E6344B"/>
    <w:rsid w:val="00EE47E8"/>
    <w:rsid w:val="00F063D4"/>
    <w:rsid w:val="00F2405F"/>
    <w:rsid w:val="00F42DE4"/>
    <w:rsid w:val="00F62C8F"/>
    <w:rsid w:val="00FD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2136"/>
  <w15:docId w15:val="{EE3D0137-5803-4396-8BAE-DEECCB0D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B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6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03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rsid w:val="002500BE"/>
  </w:style>
  <w:style w:type="table" w:styleId="TableGrid">
    <w:name w:val="Table Grid"/>
    <w:basedOn w:val="TableNormal"/>
    <w:uiPriority w:val="59"/>
    <w:rsid w:val="0025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44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1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DF299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F29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F7"/>
    <w:rPr>
      <w:rFonts w:ascii="Segoe U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rsid w:val="0024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Normal"/>
    <w:uiPriority w:val="99"/>
    <w:rsid w:val="003F7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40">
    <w:name w:val="Style40"/>
    <w:basedOn w:val="Normal"/>
    <w:uiPriority w:val="99"/>
    <w:rsid w:val="003F734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87">
    <w:name w:val="Font Style87"/>
    <w:uiPriority w:val="99"/>
    <w:rsid w:val="003F734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0">
    <w:name w:val="Font Style90"/>
    <w:uiPriority w:val="99"/>
    <w:rsid w:val="003F734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uzana.Faizullina@rs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8A10-49CA-4CB4-8552-6C1BEA0D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Jēkabsone</dc:creator>
  <cp:lastModifiedBy>Lelde Jirjena</cp:lastModifiedBy>
  <cp:revision>4</cp:revision>
  <cp:lastPrinted>2017-02-17T11:41:00Z</cp:lastPrinted>
  <dcterms:created xsi:type="dcterms:W3CDTF">2017-11-15T13:49:00Z</dcterms:created>
  <dcterms:modified xsi:type="dcterms:W3CDTF">2017-11-16T09:42:00Z</dcterms:modified>
</cp:coreProperties>
</file>