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60" w:rsidRPr="005F207C" w:rsidRDefault="007A5D60" w:rsidP="007A5D60">
      <w:pPr>
        <w:jc w:val="center"/>
        <w:rPr>
          <w:b/>
        </w:rPr>
      </w:pPr>
      <w:r w:rsidRPr="005F207C">
        <w:t>Atklāta konkursa</w:t>
      </w:r>
      <w:r w:rsidRPr="005F207C">
        <w:rPr>
          <w:b/>
        </w:rPr>
        <w:t xml:space="preserve"> </w:t>
      </w:r>
    </w:p>
    <w:p w:rsidR="007A5D60" w:rsidRPr="005F207C" w:rsidRDefault="007A5D60" w:rsidP="007A5D60">
      <w:pPr>
        <w:jc w:val="center"/>
        <w:rPr>
          <w:b/>
        </w:rPr>
      </w:pPr>
      <w:r w:rsidRPr="005F207C">
        <w:t>“</w:t>
      </w:r>
      <w:r w:rsidR="000D5042">
        <w:rPr>
          <w:rFonts w:eastAsia="Calibri"/>
          <w:b/>
        </w:rPr>
        <w:t>Dažādu laboratorijas materiālu u.c., medicīnas preču iegāde – 11.kārta</w:t>
      </w:r>
      <w:r w:rsidRPr="005F207C">
        <w:rPr>
          <w:b/>
        </w:rPr>
        <w:t xml:space="preserve">”, </w:t>
      </w:r>
    </w:p>
    <w:p w:rsidR="007A5D60" w:rsidRPr="005F207C" w:rsidRDefault="007A5D60" w:rsidP="007A5D60">
      <w:pPr>
        <w:jc w:val="center"/>
      </w:pPr>
      <w:r w:rsidRPr="005F207C">
        <w:rPr>
          <w:b/>
        </w:rPr>
        <w:t xml:space="preserve">ID Nr. </w:t>
      </w:r>
      <w:r w:rsidR="00821B60">
        <w:rPr>
          <w:b/>
        </w:rPr>
        <w:t>RSU-</w:t>
      </w:r>
      <w:r w:rsidR="00DE51B3">
        <w:rPr>
          <w:b/>
        </w:rPr>
        <w:t>2017/</w:t>
      </w:r>
      <w:r w:rsidR="000D5042">
        <w:rPr>
          <w:b/>
        </w:rPr>
        <w:t>36</w:t>
      </w:r>
      <w:r w:rsidR="00DE51B3">
        <w:rPr>
          <w:b/>
        </w:rPr>
        <w:t>/MA-AK</w:t>
      </w:r>
      <w:r w:rsidRPr="005F207C">
        <w:t xml:space="preserve"> </w:t>
      </w:r>
    </w:p>
    <w:p w:rsidR="007A5D60" w:rsidRPr="005F207C" w:rsidRDefault="007A5D60" w:rsidP="007A5D60">
      <w:pPr>
        <w:jc w:val="center"/>
      </w:pPr>
      <w:r w:rsidRPr="005F207C">
        <w:t xml:space="preserve">komisijas </w:t>
      </w:r>
    </w:p>
    <w:p w:rsidR="00124675" w:rsidRDefault="007A5D60" w:rsidP="007A5D60">
      <w:pPr>
        <w:jc w:val="center"/>
        <w:rPr>
          <w:b/>
        </w:rPr>
      </w:pPr>
      <w:r w:rsidRPr="005F207C">
        <w:rPr>
          <w:b/>
        </w:rPr>
        <w:t>GALA ZIŅOJUMS</w:t>
      </w:r>
      <w:r w:rsidR="000B0644">
        <w:rPr>
          <w:b/>
        </w:rPr>
        <w:t xml:space="preserve"> </w:t>
      </w:r>
    </w:p>
    <w:p w:rsidR="007A5D60" w:rsidRPr="00757F5C" w:rsidRDefault="007A5D60" w:rsidP="007A5D60">
      <w:pPr>
        <w:jc w:val="center"/>
        <w:rPr>
          <w:b/>
          <w:sz w:val="16"/>
          <w:szCs w:val="16"/>
        </w:rPr>
      </w:pPr>
    </w:p>
    <w:tbl>
      <w:tblPr>
        <w:tblStyle w:val="TableGrid"/>
        <w:tblW w:w="10432" w:type="dxa"/>
        <w:tblInd w:w="250" w:type="dxa"/>
        <w:tblLook w:val="04A0" w:firstRow="1" w:lastRow="0" w:firstColumn="1" w:lastColumn="0" w:noHBand="0" w:noVBand="1"/>
      </w:tblPr>
      <w:tblGrid>
        <w:gridCol w:w="2549"/>
        <w:gridCol w:w="7883"/>
      </w:tblGrid>
      <w:tr w:rsidR="007A5D60" w:rsidRPr="005F207C" w:rsidTr="00F3762C">
        <w:tc>
          <w:tcPr>
            <w:tcW w:w="2549" w:type="dxa"/>
          </w:tcPr>
          <w:p w:rsidR="005F207C" w:rsidRPr="005F207C" w:rsidRDefault="00F95323" w:rsidP="007A5D60">
            <w:pPr>
              <w:jc w:val="both"/>
            </w:pPr>
            <w:r w:rsidRPr="005F207C">
              <w:t>Pasūtītāja nosaukums un</w:t>
            </w:r>
            <w:r w:rsidR="00372A21">
              <w:t xml:space="preserve"> adrese</w:t>
            </w:r>
          </w:p>
          <w:p w:rsidR="007A5D60" w:rsidRPr="005F207C" w:rsidRDefault="007A5D60" w:rsidP="007A5D60">
            <w:pPr>
              <w:jc w:val="both"/>
            </w:pPr>
          </w:p>
        </w:tc>
        <w:tc>
          <w:tcPr>
            <w:tcW w:w="7883" w:type="dxa"/>
          </w:tcPr>
          <w:p w:rsidR="00757F5C" w:rsidRPr="00757F5C" w:rsidRDefault="005F207C" w:rsidP="007A5D60">
            <w:pPr>
              <w:jc w:val="both"/>
              <w:rPr>
                <w:b/>
              </w:rPr>
            </w:pPr>
            <w:r w:rsidRPr="00757F5C">
              <w:rPr>
                <w:b/>
              </w:rPr>
              <w:t xml:space="preserve">Rīgas Stradiņa universitāte, </w:t>
            </w:r>
          </w:p>
          <w:p w:rsidR="005F207C" w:rsidRPr="00757F5C" w:rsidRDefault="005F207C" w:rsidP="007A5D60">
            <w:pPr>
              <w:jc w:val="both"/>
              <w:rPr>
                <w:b/>
              </w:rPr>
            </w:pPr>
            <w:r w:rsidRPr="00757F5C">
              <w:rPr>
                <w:b/>
              </w:rPr>
              <w:t>Dzirciema 16, Rīga, LV-1007</w:t>
            </w:r>
          </w:p>
        </w:tc>
      </w:tr>
      <w:tr w:rsidR="00372A21" w:rsidRPr="005F207C" w:rsidTr="00F3762C">
        <w:tc>
          <w:tcPr>
            <w:tcW w:w="2549" w:type="dxa"/>
          </w:tcPr>
          <w:p w:rsidR="00372A21" w:rsidRPr="00184D56" w:rsidRDefault="00372A21" w:rsidP="00372A21">
            <w:pPr>
              <w:jc w:val="both"/>
            </w:pPr>
            <w:r w:rsidRPr="00184D56">
              <w:t>Iepirkuma identifikācijas numurs,</w:t>
            </w:r>
          </w:p>
          <w:p w:rsidR="00372A21" w:rsidRPr="00184D56" w:rsidRDefault="00372A21" w:rsidP="007A5D60">
            <w:pPr>
              <w:jc w:val="both"/>
            </w:pPr>
          </w:p>
        </w:tc>
        <w:tc>
          <w:tcPr>
            <w:tcW w:w="7883" w:type="dxa"/>
          </w:tcPr>
          <w:p w:rsidR="00372A21" w:rsidRPr="00184D56" w:rsidRDefault="00821B60" w:rsidP="00372A21">
            <w:pPr>
              <w:jc w:val="both"/>
              <w:rPr>
                <w:b/>
              </w:rPr>
            </w:pPr>
            <w:r>
              <w:rPr>
                <w:b/>
              </w:rPr>
              <w:t>RSU-</w:t>
            </w:r>
            <w:r w:rsidR="00DE51B3">
              <w:rPr>
                <w:b/>
              </w:rPr>
              <w:t>2017/</w:t>
            </w:r>
            <w:r w:rsidR="000D5042">
              <w:rPr>
                <w:b/>
              </w:rPr>
              <w:t>36</w:t>
            </w:r>
            <w:r w:rsidR="00DE51B3">
              <w:rPr>
                <w:b/>
              </w:rPr>
              <w:t>/MA-AK</w:t>
            </w:r>
            <w:r w:rsidR="00372A21" w:rsidRPr="00184D56">
              <w:rPr>
                <w:b/>
              </w:rPr>
              <w:t xml:space="preserve"> </w:t>
            </w:r>
          </w:p>
          <w:p w:rsidR="00372A21" w:rsidRPr="00184D56" w:rsidRDefault="00372A21" w:rsidP="007A5D60">
            <w:pPr>
              <w:jc w:val="both"/>
              <w:rPr>
                <w:b/>
              </w:rPr>
            </w:pPr>
          </w:p>
        </w:tc>
      </w:tr>
      <w:tr w:rsidR="00372A21" w:rsidRPr="005F207C" w:rsidTr="00F3762C">
        <w:tc>
          <w:tcPr>
            <w:tcW w:w="2549" w:type="dxa"/>
          </w:tcPr>
          <w:p w:rsidR="00372A21" w:rsidRPr="00184D56" w:rsidRDefault="00372A21" w:rsidP="00372A21">
            <w:pPr>
              <w:jc w:val="both"/>
            </w:pPr>
            <w:r w:rsidRPr="00184D56">
              <w:t xml:space="preserve">Iepirkuma procedūras veids, </w:t>
            </w:r>
          </w:p>
          <w:p w:rsidR="00372A21" w:rsidRPr="00184D56" w:rsidRDefault="00372A21" w:rsidP="00372A21">
            <w:pPr>
              <w:jc w:val="both"/>
            </w:pPr>
          </w:p>
        </w:tc>
        <w:tc>
          <w:tcPr>
            <w:tcW w:w="7883" w:type="dxa"/>
          </w:tcPr>
          <w:p w:rsidR="00372A21" w:rsidRPr="00184D56" w:rsidRDefault="00372A21" w:rsidP="00372A21">
            <w:pPr>
              <w:jc w:val="both"/>
              <w:rPr>
                <w:b/>
              </w:rPr>
            </w:pPr>
            <w:r w:rsidRPr="00184D56">
              <w:rPr>
                <w:b/>
              </w:rPr>
              <w:t xml:space="preserve">atklāts konkurss </w:t>
            </w:r>
          </w:p>
          <w:p w:rsidR="00372A21" w:rsidRPr="00184D56" w:rsidRDefault="00372A21" w:rsidP="00372A21">
            <w:pPr>
              <w:jc w:val="both"/>
              <w:rPr>
                <w:b/>
              </w:rPr>
            </w:pPr>
          </w:p>
        </w:tc>
      </w:tr>
      <w:tr w:rsidR="00372A21" w:rsidRPr="005F207C" w:rsidTr="00F3762C">
        <w:tc>
          <w:tcPr>
            <w:tcW w:w="2549" w:type="dxa"/>
          </w:tcPr>
          <w:p w:rsidR="00372A21" w:rsidRPr="00184D56" w:rsidRDefault="00372A21" w:rsidP="00372A21">
            <w:pPr>
              <w:jc w:val="both"/>
            </w:pPr>
            <w:r w:rsidRPr="00184D56">
              <w:t xml:space="preserve">Iepirkuma līguma </w:t>
            </w:r>
          </w:p>
          <w:p w:rsidR="00372A21" w:rsidRPr="00184D56" w:rsidRDefault="00372A21" w:rsidP="00372A21">
            <w:pPr>
              <w:jc w:val="both"/>
            </w:pPr>
            <w:r w:rsidRPr="00184D56">
              <w:t>vai vispārīgās vienošanās priekšmets</w:t>
            </w:r>
          </w:p>
        </w:tc>
        <w:tc>
          <w:tcPr>
            <w:tcW w:w="7883" w:type="dxa"/>
          </w:tcPr>
          <w:p w:rsidR="00372A21" w:rsidRPr="000D5042" w:rsidRDefault="000D5042" w:rsidP="00372A21">
            <w:pPr>
              <w:jc w:val="both"/>
            </w:pPr>
            <w:r w:rsidRPr="000D5042">
              <w:rPr>
                <w:rFonts w:eastAsia="Calibri"/>
              </w:rPr>
              <w:t>Dažādu laboratorijas materiālu u.c., medicīnas preču iegāde – 11.kārta</w:t>
            </w:r>
          </w:p>
        </w:tc>
      </w:tr>
      <w:tr w:rsidR="007A5D60" w:rsidRPr="005F207C" w:rsidTr="00F3762C">
        <w:tc>
          <w:tcPr>
            <w:tcW w:w="2549" w:type="dxa"/>
          </w:tcPr>
          <w:p w:rsidR="00757F5C" w:rsidRDefault="007A5D60" w:rsidP="007A5D60">
            <w:pPr>
              <w:jc w:val="both"/>
            </w:pPr>
            <w:r w:rsidRPr="005F207C">
              <w:t xml:space="preserve">Datums, kad paziņojums par līgumu un iepriekšējais informatīvais paziņojums, ja tāds ir izmantots, </w:t>
            </w:r>
          </w:p>
          <w:p w:rsidR="007A5D60" w:rsidRPr="005F207C" w:rsidRDefault="007A5D60" w:rsidP="00F20814">
            <w:pPr>
              <w:jc w:val="both"/>
            </w:pPr>
            <w:r w:rsidRPr="007F5960">
              <w:rPr>
                <w:b/>
              </w:rPr>
              <w:t>publicēts Eiropas Savienības Oficiālajā Vēstnesī (ja attiecināms)</w:t>
            </w:r>
            <w:r w:rsidRPr="005F207C">
              <w:t xml:space="preserve"> </w:t>
            </w:r>
          </w:p>
        </w:tc>
        <w:tc>
          <w:tcPr>
            <w:tcW w:w="7883" w:type="dxa"/>
          </w:tcPr>
          <w:p w:rsidR="006F3325" w:rsidRDefault="006F3325" w:rsidP="007A5D60">
            <w:pPr>
              <w:jc w:val="both"/>
              <w:rPr>
                <w:noProof/>
              </w:rPr>
            </w:pPr>
          </w:p>
          <w:p w:rsidR="00757F5C" w:rsidRDefault="000D5042" w:rsidP="007A5D60">
            <w:pPr>
              <w:jc w:val="both"/>
            </w:pPr>
            <w:r>
              <w:rPr>
                <w:noProof/>
              </w:rPr>
              <w:t>16.09</w:t>
            </w:r>
            <w:r w:rsidR="00DE51B3">
              <w:rPr>
                <w:noProof/>
              </w:rPr>
              <w:t>.2017.</w:t>
            </w:r>
          </w:p>
          <w:p w:rsidR="006F3325" w:rsidRPr="00757F5C" w:rsidRDefault="006F3325" w:rsidP="00372A21"/>
        </w:tc>
      </w:tr>
      <w:tr w:rsidR="00372A21" w:rsidRPr="005F207C" w:rsidTr="00F3762C">
        <w:tc>
          <w:tcPr>
            <w:tcW w:w="2549" w:type="dxa"/>
          </w:tcPr>
          <w:p w:rsidR="00372A21" w:rsidRPr="005F207C" w:rsidRDefault="00372A21" w:rsidP="007A5D60">
            <w:pPr>
              <w:jc w:val="both"/>
            </w:pPr>
            <w:r w:rsidRPr="005F207C">
              <w:t xml:space="preserve">Datums, kad paziņojums par līgumu un iepriekšējais informatīvais paziņojums, ja tāds ir izmantots, </w:t>
            </w:r>
            <w:r w:rsidRPr="007F5960">
              <w:rPr>
                <w:b/>
              </w:rPr>
              <w:t>Iepirkumu uzraudzības biroja tīmekļvietnē</w:t>
            </w:r>
          </w:p>
        </w:tc>
        <w:tc>
          <w:tcPr>
            <w:tcW w:w="7883" w:type="dxa"/>
          </w:tcPr>
          <w:p w:rsidR="00372A21" w:rsidRDefault="000D5042" w:rsidP="00372A21">
            <w:r>
              <w:t>18.09</w:t>
            </w:r>
            <w:r w:rsidR="00D71C10">
              <w:t>.2017.</w:t>
            </w:r>
          </w:p>
          <w:p w:rsidR="00372A21" w:rsidRDefault="00372A21" w:rsidP="007A5D60">
            <w:pPr>
              <w:jc w:val="both"/>
              <w:rPr>
                <w:noProof/>
              </w:rPr>
            </w:pPr>
          </w:p>
        </w:tc>
      </w:tr>
      <w:tr w:rsidR="007A5D60" w:rsidRPr="005F207C" w:rsidTr="00F3762C">
        <w:tc>
          <w:tcPr>
            <w:tcW w:w="2549" w:type="dxa"/>
          </w:tcPr>
          <w:p w:rsidR="007A5D60" w:rsidRPr="005F207C" w:rsidRDefault="00F95323" w:rsidP="007A5D60">
            <w:pPr>
              <w:jc w:val="both"/>
            </w:pPr>
            <w:r w:rsidRPr="005F207C">
              <w:t>I</w:t>
            </w:r>
            <w:r w:rsidR="007A5D60" w:rsidRPr="005F207C">
              <w:t>epirkuma komisijas sastāvs un tās izveidošanas pamatojums, iepirkuma procedūras dokumentu sagatavotāji un pieaicinātie ekspert</w:t>
            </w:r>
            <w:r w:rsidRPr="005F207C">
              <w:t>i</w:t>
            </w:r>
          </w:p>
        </w:tc>
        <w:tc>
          <w:tcPr>
            <w:tcW w:w="7883" w:type="dxa"/>
          </w:tcPr>
          <w:p w:rsidR="00757F5C" w:rsidRDefault="006746D9" w:rsidP="007A5D60">
            <w:pPr>
              <w:jc w:val="both"/>
            </w:pPr>
            <w:r w:rsidRPr="006746D9">
              <w:t>2017.gada 1.</w:t>
            </w:r>
            <w:r w:rsidR="0071716F">
              <w:t>decembra</w:t>
            </w:r>
            <w:r w:rsidRPr="006746D9">
              <w:t xml:space="preserve"> rīkojums Nr. 5-1/</w:t>
            </w:r>
            <w:r w:rsidR="0071716F">
              <w:t>244</w:t>
            </w:r>
            <w:r w:rsidRPr="006746D9">
              <w:t>/2017 „Par pastāvīgās paplašinātās iepirkuma komisijas izveidi” un lēmums par sašaurinā</w:t>
            </w:r>
            <w:r w:rsidR="00DA3604">
              <w:t>tās iepirkuma komisijas sastāvu: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61"/>
              <w:gridCol w:w="4215"/>
            </w:tblGrid>
            <w:tr w:rsidR="000D5042" w:rsidRPr="0009282D" w:rsidTr="006746D9">
              <w:tc>
                <w:tcPr>
                  <w:tcW w:w="2761" w:type="dxa"/>
                </w:tcPr>
                <w:p w:rsidR="000D5042" w:rsidRDefault="000D5042" w:rsidP="0005726C">
                  <w:pPr>
                    <w:jc w:val="both"/>
                  </w:pPr>
                  <w:r w:rsidRPr="00012E4C">
                    <w:t>Komisijas priekšsēdētāja</w:t>
                  </w:r>
                  <w:r>
                    <w:t xml:space="preserve">s </w:t>
                  </w:r>
                  <w:proofErr w:type="spellStart"/>
                  <w:r>
                    <w:t>p.i</w:t>
                  </w:r>
                  <w:proofErr w:type="spellEnd"/>
                  <w:r>
                    <w:t>.:</w:t>
                  </w:r>
                </w:p>
              </w:tc>
              <w:tc>
                <w:tcPr>
                  <w:tcW w:w="4215" w:type="dxa"/>
                </w:tcPr>
                <w:p w:rsidR="000D5042" w:rsidRDefault="000D5042" w:rsidP="0005726C">
                  <w:pPr>
                    <w:jc w:val="both"/>
                  </w:pPr>
                  <w:r>
                    <w:rPr>
                      <w:b/>
                    </w:rPr>
                    <w:t>Inese Ribikauska</w:t>
                  </w:r>
                  <w:r w:rsidRPr="0045103F">
                    <w:t>,</w:t>
                  </w:r>
                  <w:r>
                    <w:rPr>
                      <w:b/>
                    </w:rPr>
                    <w:t xml:space="preserve"> </w:t>
                  </w:r>
                  <w:r w:rsidRPr="005C5E20">
                    <w:t>Mācību departamenta Iepirkumu nodaļas Iepirkumu projektu vadītāj</w:t>
                  </w:r>
                  <w:r>
                    <w:t>a;</w:t>
                  </w:r>
                </w:p>
              </w:tc>
            </w:tr>
            <w:tr w:rsidR="000D5042" w:rsidRPr="0009282D" w:rsidTr="006746D9">
              <w:tc>
                <w:tcPr>
                  <w:tcW w:w="2761" w:type="dxa"/>
                </w:tcPr>
                <w:p w:rsidR="000D5042" w:rsidRDefault="000D5042" w:rsidP="0005726C">
                  <w:pPr>
                    <w:jc w:val="both"/>
                  </w:pPr>
                  <w:r w:rsidRPr="00012E4C">
                    <w:t>Komisijas locekļi</w:t>
                  </w:r>
                  <w:r>
                    <w:t>:</w:t>
                  </w:r>
                </w:p>
              </w:tc>
              <w:tc>
                <w:tcPr>
                  <w:tcW w:w="4215" w:type="dxa"/>
                </w:tcPr>
                <w:p w:rsidR="000D5042" w:rsidRPr="00012E4C" w:rsidRDefault="000D5042" w:rsidP="0005726C">
                  <w:pPr>
                    <w:tabs>
                      <w:tab w:val="left" w:pos="3119"/>
                    </w:tabs>
                    <w:jc w:val="both"/>
                  </w:pPr>
                  <w:r w:rsidRPr="00EF6EC6">
                    <w:rPr>
                      <w:b/>
                    </w:rPr>
                    <w:t>Edgars Brokāns</w:t>
                  </w:r>
                  <w:r>
                    <w:t xml:space="preserve">, </w:t>
                  </w:r>
                  <w:r w:rsidRPr="005C5E20">
                    <w:t>Mācību departamenta Iepirkumu nodaļas Iepirkumu projektu vadītāj</w:t>
                  </w:r>
                  <w:r>
                    <w:t xml:space="preserve">s; </w:t>
                  </w:r>
                </w:p>
              </w:tc>
            </w:tr>
            <w:tr w:rsidR="000D5042" w:rsidRPr="0009282D" w:rsidTr="006746D9">
              <w:tc>
                <w:tcPr>
                  <w:tcW w:w="2761" w:type="dxa"/>
                </w:tcPr>
                <w:p w:rsidR="000D5042" w:rsidRDefault="000D5042" w:rsidP="0005726C">
                  <w:pPr>
                    <w:jc w:val="both"/>
                  </w:pPr>
                </w:p>
              </w:tc>
              <w:tc>
                <w:tcPr>
                  <w:tcW w:w="4215" w:type="dxa"/>
                </w:tcPr>
                <w:p w:rsidR="000D5042" w:rsidRDefault="000D5042" w:rsidP="0005726C">
                  <w:pPr>
                    <w:jc w:val="both"/>
                  </w:pPr>
                  <w:r w:rsidRPr="000660C7">
                    <w:rPr>
                      <w:b/>
                    </w:rPr>
                    <w:t>Aija Gulbe</w:t>
                  </w:r>
                  <w:r>
                    <w:t>, Mācību departamenta direktore.</w:t>
                  </w:r>
                </w:p>
                <w:p w:rsidR="000D5042" w:rsidRDefault="000D5042" w:rsidP="0005726C">
                  <w:pPr>
                    <w:jc w:val="both"/>
                  </w:pPr>
                  <w:r w:rsidRPr="00C45BFF">
                    <w:rPr>
                      <w:b/>
                    </w:rPr>
                    <w:t>Andra Kampa</w:t>
                  </w:r>
                  <w:r>
                    <w:t>, Finanšu departamenta Finanšu analīzes nodaļas finanšu kontroliere.</w:t>
                  </w:r>
                </w:p>
              </w:tc>
            </w:tr>
            <w:tr w:rsidR="006746D9" w:rsidRPr="0009282D" w:rsidTr="006746D9">
              <w:tc>
                <w:tcPr>
                  <w:tcW w:w="2761" w:type="dxa"/>
                </w:tcPr>
                <w:p w:rsidR="006746D9" w:rsidRPr="00012E4C" w:rsidRDefault="006746D9" w:rsidP="00B06DE0">
                  <w:pPr>
                    <w:rPr>
                      <w:b/>
                    </w:rPr>
                  </w:pPr>
                  <w:r>
                    <w:t>Eksperts:</w:t>
                  </w:r>
                </w:p>
              </w:tc>
              <w:tc>
                <w:tcPr>
                  <w:tcW w:w="4215" w:type="dxa"/>
                </w:tcPr>
                <w:p w:rsidR="006746D9" w:rsidRDefault="0071716F" w:rsidP="00B06DE0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Ildze Ventiņa</w:t>
                  </w:r>
                  <w:r w:rsidRPr="002570E2">
                    <w:rPr>
                      <w:b/>
                    </w:rPr>
                    <w:t>,</w:t>
                  </w:r>
                  <w:r w:rsidRPr="002570E2">
                    <w:t xml:space="preserve"> </w:t>
                  </w:r>
                  <w:r w:rsidRPr="00924F8D">
                    <w:t xml:space="preserve">Iepirkumu projektu vadītāja, laborante, </w:t>
                  </w:r>
                  <w:proofErr w:type="spellStart"/>
                  <w:r w:rsidRPr="00924F8D">
                    <w:t>A.Kirhenšteina</w:t>
                  </w:r>
                  <w:proofErr w:type="spellEnd"/>
                  <w:r w:rsidRPr="00924F8D">
                    <w:t xml:space="preserve"> </w:t>
                  </w:r>
                  <w:r w:rsidRPr="00924F8D">
                    <w:lastRenderedPageBreak/>
                    <w:t>Mikrobiolo</w:t>
                  </w:r>
                  <w:r>
                    <w:t>ģijas un virusoloģijas institūts</w:t>
                  </w:r>
                  <w:r w:rsidR="006746D9">
                    <w:t>.</w:t>
                  </w:r>
                </w:p>
              </w:tc>
            </w:tr>
            <w:tr w:rsidR="00853213" w:rsidRPr="0009282D" w:rsidTr="006746D9">
              <w:tc>
                <w:tcPr>
                  <w:tcW w:w="2761" w:type="dxa"/>
                </w:tcPr>
                <w:p w:rsidR="00853213" w:rsidRDefault="00853213" w:rsidP="00B06DE0">
                  <w:r>
                    <w:lastRenderedPageBreak/>
                    <w:t>Jurists:</w:t>
                  </w:r>
                </w:p>
              </w:tc>
              <w:tc>
                <w:tcPr>
                  <w:tcW w:w="4215" w:type="dxa"/>
                </w:tcPr>
                <w:p w:rsidR="00853213" w:rsidRDefault="00750D86" w:rsidP="00B06DE0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Linda Neivalde,</w:t>
                  </w:r>
                  <w:r w:rsidRPr="00750D86">
                    <w:t xml:space="preserve"> Juridiskās daļas juriste</w:t>
                  </w:r>
                  <w:r>
                    <w:t>.</w:t>
                  </w:r>
                </w:p>
              </w:tc>
            </w:tr>
            <w:tr w:rsidR="006746D9" w:rsidRPr="0009282D" w:rsidTr="006746D9">
              <w:tc>
                <w:tcPr>
                  <w:tcW w:w="2761" w:type="dxa"/>
                </w:tcPr>
                <w:p w:rsidR="006746D9" w:rsidRPr="00012E4C" w:rsidRDefault="006746D9" w:rsidP="00B06DE0">
                  <w:pPr>
                    <w:rPr>
                      <w:b/>
                    </w:rPr>
                  </w:pPr>
                </w:p>
              </w:tc>
              <w:tc>
                <w:tcPr>
                  <w:tcW w:w="4215" w:type="dxa"/>
                </w:tcPr>
                <w:p w:rsidR="006746D9" w:rsidRPr="001875A3" w:rsidRDefault="006746D9" w:rsidP="00B06DE0">
                  <w:pPr>
                    <w:jc w:val="both"/>
                  </w:pPr>
                </w:p>
              </w:tc>
            </w:tr>
          </w:tbl>
          <w:p w:rsidR="00757F5C" w:rsidRPr="005F207C" w:rsidRDefault="00757F5C" w:rsidP="007A5D60">
            <w:pPr>
              <w:jc w:val="both"/>
            </w:pPr>
          </w:p>
        </w:tc>
      </w:tr>
      <w:tr w:rsidR="007A5D60" w:rsidRPr="005F207C" w:rsidTr="008B22EE">
        <w:trPr>
          <w:trHeight w:val="838"/>
        </w:trPr>
        <w:tc>
          <w:tcPr>
            <w:tcW w:w="2549" w:type="dxa"/>
          </w:tcPr>
          <w:p w:rsidR="007A5D60" w:rsidRPr="005F207C" w:rsidRDefault="00F95323" w:rsidP="007A5D60">
            <w:pPr>
              <w:jc w:val="both"/>
            </w:pPr>
            <w:r w:rsidRPr="005F207C">
              <w:lastRenderedPageBreak/>
              <w:t>P</w:t>
            </w:r>
            <w:r w:rsidR="007A5D60" w:rsidRPr="005F207C">
              <w:t>i</w:t>
            </w:r>
            <w:r w:rsidR="00372A21">
              <w:t>edāvājumu iesniegšanas termiņš</w:t>
            </w:r>
          </w:p>
        </w:tc>
        <w:tc>
          <w:tcPr>
            <w:tcW w:w="7883" w:type="dxa"/>
          </w:tcPr>
          <w:p w:rsidR="007A5D60" w:rsidRDefault="000D5042" w:rsidP="007A5D60">
            <w:pPr>
              <w:jc w:val="both"/>
            </w:pPr>
            <w:r>
              <w:t>23.10</w:t>
            </w:r>
            <w:r w:rsidR="00757F5C">
              <w:t xml:space="preserve">.2017., plkst. </w:t>
            </w:r>
            <w:r>
              <w:t>10</w:t>
            </w:r>
            <w:r w:rsidR="00D23D9D">
              <w:t>:</w:t>
            </w:r>
            <w:r w:rsidR="00D71C10">
              <w:t>00</w:t>
            </w:r>
          </w:p>
          <w:p w:rsidR="00757F5C" w:rsidRDefault="00757F5C" w:rsidP="007A5D60">
            <w:pPr>
              <w:jc w:val="both"/>
            </w:pPr>
          </w:p>
          <w:p w:rsidR="00757F5C" w:rsidRPr="005F207C" w:rsidRDefault="00757F5C" w:rsidP="007A5D60">
            <w:pPr>
              <w:jc w:val="both"/>
            </w:pPr>
          </w:p>
        </w:tc>
      </w:tr>
      <w:tr w:rsidR="00372A21" w:rsidRPr="005F207C" w:rsidTr="00F3762C">
        <w:tc>
          <w:tcPr>
            <w:tcW w:w="2549" w:type="dxa"/>
          </w:tcPr>
          <w:p w:rsidR="00372A21" w:rsidRPr="005F207C" w:rsidRDefault="0009682C" w:rsidP="001C7DCB">
            <w:r>
              <w:t>P</w:t>
            </w:r>
            <w:r w:rsidR="00372A21" w:rsidRPr="005F207C">
              <w:t xml:space="preserve">amatojums termiņa saīsinājumam (tai skaitā steidzamībai atbilstoši </w:t>
            </w:r>
            <w:r w:rsidR="001C7DCB">
              <w:t>Ministru Kabineta 28.02.2017.</w:t>
            </w:r>
            <w:r w:rsidR="00372A21" w:rsidRPr="005F207C">
              <w:t>noteikumu</w:t>
            </w:r>
            <w:r w:rsidR="001C7DCB">
              <w:t xml:space="preserve"> Nr. 107 “Iepirkumu procedūru un metu konkursu norises kārtība” (turpmāk-noteikumi) </w:t>
            </w:r>
            <w:r w:rsidR="00372A21" w:rsidRPr="005F207C">
              <w:t> </w:t>
            </w:r>
            <w:r w:rsidR="00372A21" w:rsidRPr="004F40F8">
              <w:t>5.punktam</w:t>
            </w:r>
            <w:r w:rsidR="00372A21" w:rsidRPr="005F207C">
              <w:t>), ja tāds veikts</w:t>
            </w:r>
          </w:p>
        </w:tc>
        <w:tc>
          <w:tcPr>
            <w:tcW w:w="7883" w:type="dxa"/>
          </w:tcPr>
          <w:p w:rsidR="00372A21" w:rsidRDefault="004F40F8" w:rsidP="007A5D60">
            <w:pPr>
              <w:jc w:val="both"/>
            </w:pPr>
            <w:r>
              <w:t>NAV</w:t>
            </w:r>
          </w:p>
        </w:tc>
      </w:tr>
      <w:tr w:rsidR="00F3762C" w:rsidRPr="005F207C" w:rsidTr="00F3762C">
        <w:tc>
          <w:tcPr>
            <w:tcW w:w="10432" w:type="dxa"/>
            <w:gridSpan w:val="2"/>
          </w:tcPr>
          <w:p w:rsidR="00F3762C" w:rsidRDefault="00F3762C" w:rsidP="007A5D60">
            <w:pPr>
              <w:jc w:val="both"/>
            </w:pPr>
            <w:r>
              <w:t>P</w:t>
            </w:r>
            <w:r w:rsidRPr="005F207C">
              <w:t>iegādātāju nosaukumi, kuri ir iesnieguši piedāvājumus, kā arī piedāvātās cenas</w:t>
            </w:r>
            <w:r>
              <w:t xml:space="preserve"> EUR bez PVN</w:t>
            </w:r>
            <w:r w:rsidR="006A12EA">
              <w:t>:</w:t>
            </w:r>
          </w:p>
        </w:tc>
      </w:tr>
      <w:tr w:rsidR="000D5042" w:rsidRPr="005F207C" w:rsidTr="00F3762C">
        <w:tc>
          <w:tcPr>
            <w:tcW w:w="10432" w:type="dxa"/>
            <w:gridSpan w:val="2"/>
          </w:tcPr>
          <w:p w:rsidR="004109B1" w:rsidRDefault="004109B1" w:rsidP="007A5D60">
            <w:pPr>
              <w:jc w:val="both"/>
            </w:pPr>
          </w:p>
          <w:p w:rsidR="00E377FE" w:rsidRDefault="00E377FE" w:rsidP="007A5D60">
            <w:pPr>
              <w:jc w:val="both"/>
            </w:pPr>
            <w:r>
              <w:t>Pretendentu piedāvātās cenas (Pielikumā)</w:t>
            </w:r>
          </w:p>
          <w:p w:rsidR="004109B1" w:rsidRDefault="004109B1" w:rsidP="007A5D60">
            <w:pPr>
              <w:jc w:val="both"/>
            </w:pPr>
          </w:p>
        </w:tc>
      </w:tr>
      <w:tr w:rsidR="007A5D60" w:rsidRPr="005F207C" w:rsidTr="00F3762C">
        <w:trPr>
          <w:trHeight w:val="588"/>
        </w:trPr>
        <w:tc>
          <w:tcPr>
            <w:tcW w:w="2549" w:type="dxa"/>
          </w:tcPr>
          <w:p w:rsidR="007A5D60" w:rsidRPr="005F207C" w:rsidRDefault="00F95323" w:rsidP="0009682C">
            <w:pPr>
              <w:jc w:val="both"/>
            </w:pPr>
            <w:r w:rsidRPr="005F207C">
              <w:t>P</w:t>
            </w:r>
            <w:r w:rsidR="007A5D60" w:rsidRPr="005F207C">
              <w:t xml:space="preserve">iedāvājumu atvēršanas </w:t>
            </w:r>
            <w:r w:rsidR="007A5D60" w:rsidRPr="00184D56">
              <w:t>vieta,</w:t>
            </w:r>
            <w:r w:rsidR="007A5D60" w:rsidRPr="005F207C">
              <w:t xml:space="preserve"> </w:t>
            </w:r>
          </w:p>
        </w:tc>
        <w:tc>
          <w:tcPr>
            <w:tcW w:w="7883" w:type="dxa"/>
          </w:tcPr>
          <w:p w:rsidR="007A5D60" w:rsidRPr="005F207C" w:rsidRDefault="0009682C" w:rsidP="00793DBE">
            <w:pPr>
              <w:jc w:val="both"/>
            </w:pPr>
            <w:r>
              <w:t xml:space="preserve">Rīga, Dzirciema iela 16, G-112.kabinets, </w:t>
            </w:r>
          </w:p>
        </w:tc>
      </w:tr>
      <w:tr w:rsidR="0009682C" w:rsidRPr="005F207C" w:rsidTr="00F3762C">
        <w:tc>
          <w:tcPr>
            <w:tcW w:w="2549" w:type="dxa"/>
          </w:tcPr>
          <w:p w:rsidR="0009682C" w:rsidRPr="005F207C" w:rsidRDefault="0009682C" w:rsidP="0009682C">
            <w:pPr>
              <w:jc w:val="both"/>
            </w:pPr>
            <w:r w:rsidRPr="005F207C">
              <w:t>Piedāvājumu atvēršanas datums un laiks</w:t>
            </w:r>
          </w:p>
        </w:tc>
        <w:tc>
          <w:tcPr>
            <w:tcW w:w="7883" w:type="dxa"/>
          </w:tcPr>
          <w:p w:rsidR="00D23D9D" w:rsidRPr="00D23D9D" w:rsidRDefault="00E377FE" w:rsidP="00D23D9D">
            <w:pPr>
              <w:jc w:val="both"/>
            </w:pPr>
            <w:r>
              <w:t>23.10</w:t>
            </w:r>
            <w:r w:rsidR="00D23D9D" w:rsidRPr="00D23D9D">
              <w:t xml:space="preserve">.2017., plkst. </w:t>
            </w:r>
            <w:r>
              <w:t>10</w:t>
            </w:r>
            <w:r w:rsidR="00D23D9D" w:rsidRPr="00D23D9D">
              <w:t>:</w:t>
            </w:r>
            <w:r w:rsidR="00D92428">
              <w:t>00</w:t>
            </w:r>
          </w:p>
          <w:p w:rsidR="0009682C" w:rsidRDefault="0009682C" w:rsidP="009738C4">
            <w:pPr>
              <w:jc w:val="both"/>
            </w:pPr>
          </w:p>
        </w:tc>
      </w:tr>
      <w:tr w:rsidR="00C162A1" w:rsidRPr="005F207C" w:rsidTr="00872A11">
        <w:tc>
          <w:tcPr>
            <w:tcW w:w="10432" w:type="dxa"/>
            <w:gridSpan w:val="2"/>
          </w:tcPr>
          <w:p w:rsidR="00C162A1" w:rsidRDefault="00C162A1" w:rsidP="00D23D9D">
            <w:pPr>
              <w:jc w:val="both"/>
            </w:pPr>
            <w:r w:rsidRPr="005F207C">
              <w:t>Tā pretendenta (vai pretendentu) nosaukums, kuram (vai kuriem) piešķirtas iepirkuma līguma slēgšanas tiesības, piedāvātā līgumcena, kā arī piedāvāju</w:t>
            </w:r>
            <w:r>
              <w:t>mu izvērtēšanas kopsavilkums</w:t>
            </w:r>
          </w:p>
          <w:p w:rsidR="000B7B64" w:rsidRDefault="000B7B64" w:rsidP="00D23D9D">
            <w:pPr>
              <w:jc w:val="both"/>
            </w:pPr>
          </w:p>
        </w:tc>
      </w:tr>
      <w:tr w:rsidR="00C162A1" w:rsidRPr="005F207C" w:rsidTr="00872A11">
        <w:tc>
          <w:tcPr>
            <w:tcW w:w="10432" w:type="dxa"/>
            <w:gridSpan w:val="2"/>
          </w:tcPr>
          <w:p w:rsidR="00E06C69" w:rsidRDefault="00E06C69" w:rsidP="0071716F">
            <w:pPr>
              <w:ind w:left="284"/>
              <w:contextualSpacing/>
              <w:jc w:val="both"/>
              <w:rPr>
                <w:rFonts w:eastAsiaTheme="minorHAnsi"/>
              </w:rPr>
            </w:pPr>
          </w:p>
          <w:p w:rsidR="0071716F" w:rsidRDefault="00E377FE" w:rsidP="0071716F">
            <w:pPr>
              <w:ind w:left="284"/>
              <w:contextualSpacing/>
              <w:jc w:val="both"/>
              <w:rPr>
                <w:rFonts w:eastAsiaTheme="minorHAnsi"/>
                <w:b/>
              </w:rPr>
            </w:pPr>
            <w:r w:rsidRPr="00E377FE">
              <w:rPr>
                <w:rFonts w:eastAsiaTheme="minorHAnsi"/>
              </w:rPr>
              <w:t xml:space="preserve">Saskaņā ar Ministru Kabineta 28.02.2017. noteikumu Nr. 107 “Iepirkumu procedūru un metu konkursu norises kārtība” (turpmāk – MK noteikumi) 18.punktu un nolikuma 19.1.punktu atzīst, </w:t>
            </w:r>
            <w:r w:rsidRPr="00E377FE">
              <w:rPr>
                <w:rFonts w:eastAsiaTheme="minorHAnsi"/>
                <w:b/>
              </w:rPr>
              <w:t>ka par uzvarētāju ir atzīstams, un vispārīgās vienošanās slēgšanas tiesības piešķiramas šādam pretendentam šādās iepirkuma pozīcijās</w:t>
            </w:r>
            <w:r w:rsidR="0071716F" w:rsidRPr="0071716F">
              <w:rPr>
                <w:rFonts w:eastAsiaTheme="minorHAnsi"/>
                <w:b/>
              </w:rPr>
              <w:t>:</w:t>
            </w:r>
          </w:p>
          <w:p w:rsidR="006A12EA" w:rsidRDefault="006A12EA" w:rsidP="0071716F">
            <w:pPr>
              <w:ind w:left="284"/>
              <w:contextualSpacing/>
              <w:jc w:val="both"/>
              <w:rPr>
                <w:rFonts w:eastAsiaTheme="minorHAnsi"/>
                <w:b/>
              </w:rPr>
            </w:pPr>
          </w:p>
          <w:tbl>
            <w:tblPr>
              <w:tblStyle w:val="TableGrid1"/>
              <w:tblW w:w="9102" w:type="dxa"/>
              <w:tblInd w:w="675" w:type="dxa"/>
              <w:tblLook w:val="04A0" w:firstRow="1" w:lastRow="0" w:firstColumn="1" w:lastColumn="0" w:noHBand="0" w:noVBand="1"/>
            </w:tblPr>
            <w:tblGrid>
              <w:gridCol w:w="972"/>
              <w:gridCol w:w="4389"/>
              <w:gridCol w:w="977"/>
              <w:gridCol w:w="2764"/>
            </w:tblGrid>
            <w:tr w:rsidR="00E377FE" w:rsidRPr="008E7AAB" w:rsidTr="0005726C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8E7AAB">
                    <w:rPr>
                      <w:rFonts w:cs="Times New Roman"/>
                      <w:b/>
                      <w:sz w:val="20"/>
                      <w:szCs w:val="20"/>
                    </w:rPr>
                    <w:t>Pozīcijas Nr.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9"/>
                      <w:szCs w:val="19"/>
                    </w:rPr>
                  </w:pPr>
                  <w:r w:rsidRPr="008E7AAB">
                    <w:rPr>
                      <w:rFonts w:cs="Times New Roman"/>
                      <w:b/>
                      <w:sz w:val="20"/>
                      <w:szCs w:val="20"/>
                    </w:rPr>
                    <w:t>Pozīcijas nosaukums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7FE" w:rsidRPr="00532D4F" w:rsidRDefault="00E377FE" w:rsidP="0005726C">
                  <w:pPr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532D4F">
                    <w:rPr>
                      <w:rFonts w:cs="Times New Roman"/>
                      <w:b/>
                      <w:sz w:val="18"/>
                      <w:szCs w:val="18"/>
                    </w:rPr>
                    <w:t>Cena, bez PVN</w:t>
                  </w:r>
                  <w:r>
                    <w:rPr>
                      <w:rFonts w:cs="Times New Roman"/>
                      <w:b/>
                      <w:sz w:val="18"/>
                      <w:szCs w:val="18"/>
                    </w:rPr>
                    <w:t>, EUR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Pretendents</w:t>
                  </w:r>
                </w:p>
              </w:tc>
            </w:tr>
            <w:tr w:rsidR="00E377FE" w:rsidRPr="008E7AAB" w:rsidTr="0005726C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8E7AAB">
                    <w:rPr>
                      <w:rFonts w:cs="Times New Roman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9"/>
                      <w:szCs w:val="19"/>
                      <w:lang w:val="en-GB"/>
                    </w:rPr>
                  </w:pPr>
                  <w:r w:rsidRPr="008E7AAB">
                    <w:rPr>
                      <w:rFonts w:cs="Times New Roman"/>
                      <w:sz w:val="19"/>
                      <w:szCs w:val="19"/>
                    </w:rPr>
                    <w:t>Adata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8"/>
                      <w:szCs w:val="18"/>
                      <w:lang w:val="en-GB"/>
                    </w:rPr>
                  </w:pPr>
                  <w:r w:rsidRPr="008E7AAB">
                    <w:rPr>
                      <w:rFonts w:cs="Times New Roman"/>
                      <w:sz w:val="18"/>
                      <w:szCs w:val="18"/>
                    </w:rPr>
                    <w:t>10.80</w:t>
                  </w:r>
                </w:p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8E7AAB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SIA “</w:t>
                  </w:r>
                  <w:r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OMNILAB</w:t>
                  </w:r>
                  <w:r w:rsidRPr="008E7AAB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E7AAB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baltic</w:t>
                  </w:r>
                  <w:proofErr w:type="spellEnd"/>
                  <w:r w:rsidRPr="008E7AAB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”</w:t>
                  </w:r>
                </w:p>
              </w:tc>
            </w:tr>
            <w:tr w:rsidR="00E377FE" w:rsidRPr="008E7AAB" w:rsidTr="0005726C">
              <w:trPr>
                <w:trHeight w:val="37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8E7AAB">
                    <w:rPr>
                      <w:rFonts w:cs="Times New Roman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9"/>
                      <w:szCs w:val="19"/>
                    </w:rPr>
                  </w:pPr>
                  <w:proofErr w:type="spellStart"/>
                  <w:r w:rsidRPr="008E7AAB">
                    <w:rPr>
                      <w:rFonts w:cs="Times New Roman"/>
                      <w:sz w:val="19"/>
                      <w:szCs w:val="19"/>
                    </w:rPr>
                    <w:t>Adatturis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8"/>
                      <w:szCs w:val="18"/>
                      <w:lang w:val="en-GB"/>
                    </w:rPr>
                  </w:pPr>
                  <w:r w:rsidRPr="008E7AAB">
                    <w:rPr>
                      <w:rFonts w:cs="Times New Roman"/>
                      <w:sz w:val="18"/>
                      <w:szCs w:val="18"/>
                    </w:rPr>
                    <w:t>17.64</w:t>
                  </w:r>
                </w:p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8E7AAB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SIA “</w:t>
                  </w:r>
                  <w:proofErr w:type="spellStart"/>
                  <w:r w:rsidRPr="008E7AAB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Arbor</w:t>
                  </w:r>
                  <w:proofErr w:type="spellEnd"/>
                  <w:r w:rsidRPr="008E7AAB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Medical Korporācija”</w:t>
                  </w:r>
                </w:p>
              </w:tc>
            </w:tr>
            <w:tr w:rsidR="00E377FE" w:rsidRPr="008E7AAB" w:rsidTr="0005726C">
              <w:tc>
                <w:tcPr>
                  <w:tcW w:w="709" w:type="dxa"/>
                  <w:tcBorders>
                    <w:top w:val="single" w:sz="4" w:space="0" w:color="auto"/>
                  </w:tcBorders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8E7AAB">
                    <w:rPr>
                      <w:rFonts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</w:tcBorders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9"/>
                      <w:szCs w:val="19"/>
                    </w:rPr>
                  </w:pPr>
                  <w:proofErr w:type="spellStart"/>
                  <w:r w:rsidRPr="008E7AAB">
                    <w:rPr>
                      <w:rFonts w:cs="Times New Roman"/>
                      <w:sz w:val="19"/>
                      <w:szCs w:val="19"/>
                    </w:rPr>
                    <w:t>Adatturis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8E7AAB">
                    <w:rPr>
                      <w:rFonts w:cs="Times New Roman"/>
                      <w:sz w:val="18"/>
                      <w:szCs w:val="18"/>
                    </w:rPr>
                    <w:t>47.95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</w:tcBorders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8E7AAB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SIA “</w:t>
                  </w:r>
                  <w:proofErr w:type="spellStart"/>
                  <w:r w:rsidRPr="008E7AAB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Medeksperts</w:t>
                  </w:r>
                  <w:proofErr w:type="spellEnd"/>
                  <w:r w:rsidRPr="008E7AAB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”</w:t>
                  </w:r>
                </w:p>
              </w:tc>
            </w:tr>
            <w:tr w:rsidR="00E377FE" w:rsidRPr="008E7AAB" w:rsidTr="0005726C">
              <w:tc>
                <w:tcPr>
                  <w:tcW w:w="709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8E7AAB">
                    <w:rPr>
                      <w:rFonts w:cs="Times New Roman"/>
                      <w:b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4565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9"/>
                      <w:szCs w:val="19"/>
                    </w:rPr>
                  </w:pPr>
                  <w:proofErr w:type="spellStart"/>
                  <w:r w:rsidRPr="008E7AAB">
                    <w:rPr>
                      <w:rFonts w:cs="Times New Roman"/>
                      <w:sz w:val="19"/>
                      <w:szCs w:val="19"/>
                    </w:rPr>
                    <w:t>Adhezīvi</w:t>
                  </w:r>
                  <w:proofErr w:type="spellEnd"/>
                  <w:r w:rsidRPr="008E7AAB">
                    <w:rPr>
                      <w:rFonts w:cs="Times New Roman"/>
                      <w:sz w:val="19"/>
                      <w:szCs w:val="19"/>
                    </w:rPr>
                    <w:t xml:space="preserve"> daudzslāņu paklājiņi ar līpošu virsmu</w:t>
                  </w:r>
                </w:p>
              </w:tc>
              <w:tc>
                <w:tcPr>
                  <w:tcW w:w="992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8E7AAB">
                    <w:rPr>
                      <w:rFonts w:cs="Times New Roman"/>
                      <w:sz w:val="18"/>
                      <w:szCs w:val="18"/>
                    </w:rPr>
                    <w:t>283.50</w:t>
                  </w:r>
                </w:p>
              </w:tc>
              <w:tc>
                <w:tcPr>
                  <w:tcW w:w="2836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8E7AAB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SIA “</w:t>
                  </w:r>
                  <w:proofErr w:type="spellStart"/>
                  <w:r w:rsidRPr="008E7AAB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Medeksperts</w:t>
                  </w:r>
                  <w:proofErr w:type="spellEnd"/>
                  <w:r w:rsidRPr="008E7AAB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”</w:t>
                  </w:r>
                </w:p>
              </w:tc>
            </w:tr>
            <w:tr w:rsidR="00E377FE" w:rsidRPr="008E7AAB" w:rsidTr="0005726C">
              <w:tc>
                <w:tcPr>
                  <w:tcW w:w="709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8E7AAB">
                    <w:rPr>
                      <w:rFonts w:cs="Times New Roman"/>
                      <w:b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4565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9"/>
                      <w:szCs w:val="19"/>
                    </w:rPr>
                  </w:pPr>
                  <w:proofErr w:type="spellStart"/>
                  <w:r w:rsidRPr="008E7AAB">
                    <w:rPr>
                      <w:rFonts w:cs="Times New Roman"/>
                      <w:sz w:val="19"/>
                      <w:szCs w:val="19"/>
                    </w:rPr>
                    <w:t>Amniotoms</w:t>
                  </w:r>
                  <w:proofErr w:type="spellEnd"/>
                </w:p>
              </w:tc>
              <w:tc>
                <w:tcPr>
                  <w:tcW w:w="992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8E7AAB">
                    <w:rPr>
                      <w:rFonts w:cs="Times New Roman"/>
                      <w:sz w:val="18"/>
                      <w:szCs w:val="18"/>
                    </w:rPr>
                    <w:t>14.5</w:t>
                  </w:r>
                </w:p>
              </w:tc>
              <w:tc>
                <w:tcPr>
                  <w:tcW w:w="2836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8E7AAB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SIA “</w:t>
                  </w:r>
                  <w:proofErr w:type="spellStart"/>
                  <w:r w:rsidRPr="008E7AAB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Medeksperts</w:t>
                  </w:r>
                  <w:proofErr w:type="spellEnd"/>
                  <w:r w:rsidRPr="008E7AAB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”</w:t>
                  </w:r>
                </w:p>
              </w:tc>
            </w:tr>
            <w:tr w:rsidR="00E377FE" w:rsidRPr="008E7AAB" w:rsidTr="0005726C">
              <w:tc>
                <w:tcPr>
                  <w:tcW w:w="709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8E7AAB">
                    <w:rPr>
                      <w:rFonts w:cs="Times New Roman"/>
                      <w:b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4565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9"/>
                      <w:szCs w:val="19"/>
                    </w:rPr>
                  </w:pPr>
                  <w:r w:rsidRPr="008E7AAB">
                    <w:rPr>
                      <w:rFonts w:cs="Times New Roman"/>
                      <w:sz w:val="19"/>
                      <w:szCs w:val="19"/>
                    </w:rPr>
                    <w:t>Anti-A reaģents asins grupu noteikšanai</w:t>
                  </w:r>
                </w:p>
              </w:tc>
              <w:tc>
                <w:tcPr>
                  <w:tcW w:w="992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8E7AAB">
                    <w:rPr>
                      <w:rFonts w:cs="Times New Roman"/>
                      <w:sz w:val="18"/>
                      <w:szCs w:val="18"/>
                    </w:rPr>
                    <w:t>10.90</w:t>
                  </w:r>
                </w:p>
              </w:tc>
              <w:tc>
                <w:tcPr>
                  <w:tcW w:w="2836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8E7AAB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SIA “</w:t>
                  </w:r>
                  <w:proofErr w:type="spellStart"/>
                  <w:r w:rsidRPr="008E7AAB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Diamedica</w:t>
                  </w:r>
                  <w:proofErr w:type="spellEnd"/>
                  <w:r w:rsidRPr="008E7AAB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”</w:t>
                  </w:r>
                </w:p>
              </w:tc>
            </w:tr>
            <w:tr w:rsidR="00E377FE" w:rsidRPr="008E7AAB" w:rsidTr="0005726C">
              <w:tc>
                <w:tcPr>
                  <w:tcW w:w="709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8E7AAB">
                    <w:rPr>
                      <w:rFonts w:cs="Times New Roman"/>
                      <w:b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4565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9"/>
                      <w:szCs w:val="19"/>
                    </w:rPr>
                  </w:pPr>
                  <w:r w:rsidRPr="008E7AAB">
                    <w:rPr>
                      <w:rFonts w:cs="Times New Roman"/>
                      <w:sz w:val="19"/>
                      <w:szCs w:val="19"/>
                    </w:rPr>
                    <w:t>Anti-B reaģents asins grupu noteikšanai</w:t>
                  </w:r>
                </w:p>
              </w:tc>
              <w:tc>
                <w:tcPr>
                  <w:tcW w:w="992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8E7AAB">
                    <w:rPr>
                      <w:rFonts w:cs="Times New Roman"/>
                      <w:sz w:val="18"/>
                      <w:szCs w:val="18"/>
                    </w:rPr>
                    <w:t>10.90</w:t>
                  </w:r>
                </w:p>
              </w:tc>
              <w:tc>
                <w:tcPr>
                  <w:tcW w:w="2836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8E7AAB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SIA “</w:t>
                  </w:r>
                  <w:proofErr w:type="spellStart"/>
                  <w:r w:rsidRPr="008E7AAB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Diamedica</w:t>
                  </w:r>
                  <w:proofErr w:type="spellEnd"/>
                  <w:r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”</w:t>
                  </w:r>
                </w:p>
              </w:tc>
            </w:tr>
            <w:tr w:rsidR="00E377FE" w:rsidRPr="008E7AAB" w:rsidTr="0005726C">
              <w:tc>
                <w:tcPr>
                  <w:tcW w:w="709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8E7AAB">
                    <w:rPr>
                      <w:rFonts w:cs="Times New Roman"/>
                      <w:b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4565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9"/>
                      <w:szCs w:val="19"/>
                    </w:rPr>
                  </w:pPr>
                  <w:r w:rsidRPr="008E7AAB">
                    <w:rPr>
                      <w:rFonts w:cs="Times New Roman"/>
                      <w:sz w:val="19"/>
                      <w:szCs w:val="19"/>
                    </w:rPr>
                    <w:t>Anti-D reaģents asins grupu noteikšanai</w:t>
                  </w:r>
                </w:p>
              </w:tc>
              <w:tc>
                <w:tcPr>
                  <w:tcW w:w="992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8E7AAB">
                    <w:rPr>
                      <w:rFonts w:cs="Times New Roman"/>
                      <w:sz w:val="18"/>
                      <w:szCs w:val="18"/>
                    </w:rPr>
                    <w:t>26.41</w:t>
                  </w:r>
                </w:p>
              </w:tc>
              <w:tc>
                <w:tcPr>
                  <w:tcW w:w="2836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8E7AAB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SIA “</w:t>
                  </w:r>
                  <w:proofErr w:type="spellStart"/>
                  <w:r w:rsidRPr="008E7AAB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Diamedica</w:t>
                  </w:r>
                  <w:proofErr w:type="spellEnd"/>
                  <w:r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”</w:t>
                  </w:r>
                </w:p>
              </w:tc>
            </w:tr>
            <w:tr w:rsidR="00E377FE" w:rsidRPr="008E7AAB" w:rsidTr="0005726C">
              <w:tc>
                <w:tcPr>
                  <w:tcW w:w="709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8E7AAB">
                    <w:rPr>
                      <w:rFonts w:cs="Times New Roman"/>
                      <w:b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4565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9"/>
                      <w:szCs w:val="19"/>
                    </w:rPr>
                  </w:pPr>
                  <w:r w:rsidRPr="008E7AAB">
                    <w:rPr>
                      <w:rFonts w:cs="Times New Roman"/>
                      <w:sz w:val="19"/>
                      <w:szCs w:val="19"/>
                    </w:rPr>
                    <w:t>Asins paraugu ievākšanas stobriņi ar K</w:t>
                  </w:r>
                  <w:r w:rsidRPr="008E7AAB">
                    <w:rPr>
                      <w:rFonts w:cs="Times New Roman"/>
                      <w:sz w:val="19"/>
                      <w:szCs w:val="19"/>
                      <w:vertAlign w:val="subscript"/>
                    </w:rPr>
                    <w:t>2</w:t>
                  </w:r>
                  <w:r w:rsidRPr="008E7AAB">
                    <w:rPr>
                      <w:rFonts w:cs="Times New Roman"/>
                      <w:sz w:val="19"/>
                      <w:szCs w:val="19"/>
                    </w:rPr>
                    <w:t>EDTA, 2,7 ml</w:t>
                  </w:r>
                </w:p>
              </w:tc>
              <w:tc>
                <w:tcPr>
                  <w:tcW w:w="992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8"/>
                      <w:szCs w:val="18"/>
                      <w:lang w:val="en-GB"/>
                    </w:rPr>
                  </w:pPr>
                  <w:r w:rsidRPr="008E7AAB">
                    <w:rPr>
                      <w:rFonts w:cs="Times New Roman"/>
                      <w:sz w:val="18"/>
                      <w:szCs w:val="18"/>
                    </w:rPr>
                    <w:t>3.85</w:t>
                  </w:r>
                </w:p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6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8E7AAB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SIA “</w:t>
                  </w:r>
                  <w:r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SARSTEDT</w:t>
                  </w:r>
                  <w:r w:rsidRPr="008E7AAB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”</w:t>
                  </w:r>
                </w:p>
              </w:tc>
            </w:tr>
            <w:tr w:rsidR="00E377FE" w:rsidRPr="008E7AAB" w:rsidTr="0005726C">
              <w:tc>
                <w:tcPr>
                  <w:tcW w:w="709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8E7AAB">
                    <w:rPr>
                      <w:rFonts w:cs="Times New Roman"/>
                      <w:b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4565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9"/>
                      <w:szCs w:val="19"/>
                    </w:rPr>
                  </w:pPr>
                  <w:r w:rsidRPr="008E7AAB">
                    <w:rPr>
                      <w:rFonts w:cs="Times New Roman"/>
                      <w:sz w:val="19"/>
                      <w:szCs w:val="19"/>
                    </w:rPr>
                    <w:t>Asins paraugu ievākšanas stobriņi ar litiju-</w:t>
                  </w:r>
                  <w:proofErr w:type="spellStart"/>
                  <w:r w:rsidRPr="008E7AAB">
                    <w:rPr>
                      <w:rFonts w:cs="Times New Roman"/>
                      <w:sz w:val="19"/>
                      <w:szCs w:val="19"/>
                    </w:rPr>
                    <w:t>heparīnu</w:t>
                  </w:r>
                  <w:proofErr w:type="spellEnd"/>
                  <w:r w:rsidRPr="008E7AAB">
                    <w:rPr>
                      <w:rFonts w:cs="Times New Roman"/>
                      <w:sz w:val="19"/>
                      <w:szCs w:val="19"/>
                    </w:rPr>
                    <w:t>, 10 ml</w:t>
                  </w:r>
                </w:p>
              </w:tc>
              <w:tc>
                <w:tcPr>
                  <w:tcW w:w="992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bCs/>
                      <w:sz w:val="18"/>
                      <w:szCs w:val="18"/>
                      <w:lang w:val="en-GB"/>
                    </w:rPr>
                  </w:pPr>
                  <w:r w:rsidRPr="008E7AAB">
                    <w:rPr>
                      <w:rFonts w:cs="Times New Roman"/>
                      <w:bCs/>
                      <w:sz w:val="18"/>
                      <w:szCs w:val="18"/>
                    </w:rPr>
                    <w:t>18.00</w:t>
                  </w:r>
                </w:p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6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8E7AAB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SIA “</w:t>
                  </w:r>
                  <w:proofErr w:type="spellStart"/>
                  <w:r w:rsidRPr="008E7AAB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Interlux</w:t>
                  </w:r>
                  <w:proofErr w:type="spellEnd"/>
                  <w:r w:rsidRPr="008E7AAB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”</w:t>
                  </w:r>
                </w:p>
              </w:tc>
            </w:tr>
            <w:tr w:rsidR="00E377FE" w:rsidRPr="008E7AAB" w:rsidTr="0005726C">
              <w:tc>
                <w:tcPr>
                  <w:tcW w:w="709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8E7AAB">
                    <w:rPr>
                      <w:rFonts w:cs="Times New Roman"/>
                      <w:b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4565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9"/>
                      <w:szCs w:val="19"/>
                    </w:rPr>
                  </w:pPr>
                  <w:r w:rsidRPr="008E7AAB">
                    <w:rPr>
                      <w:rFonts w:cs="Times New Roman"/>
                      <w:sz w:val="19"/>
                      <w:szCs w:val="19"/>
                    </w:rPr>
                    <w:t>Asins paraugu ievākšanas stobriņš</w:t>
                  </w:r>
                </w:p>
              </w:tc>
              <w:tc>
                <w:tcPr>
                  <w:tcW w:w="992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8"/>
                      <w:szCs w:val="18"/>
                      <w:lang w:val="en-GB"/>
                    </w:rPr>
                  </w:pPr>
                  <w:r w:rsidRPr="008E7AAB">
                    <w:rPr>
                      <w:rFonts w:cs="Times New Roman"/>
                      <w:sz w:val="18"/>
                      <w:szCs w:val="18"/>
                    </w:rPr>
                    <w:t>4.4</w:t>
                  </w:r>
                </w:p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6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8E7AAB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SIA “</w:t>
                  </w:r>
                  <w:r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SARSTEDT</w:t>
                  </w:r>
                  <w:r w:rsidRPr="008E7AAB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”</w:t>
                  </w:r>
                </w:p>
              </w:tc>
            </w:tr>
            <w:tr w:rsidR="00E377FE" w:rsidRPr="008E7AAB" w:rsidTr="0005726C">
              <w:tc>
                <w:tcPr>
                  <w:tcW w:w="709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8E7AAB">
                    <w:rPr>
                      <w:rFonts w:cs="Times New Roman"/>
                      <w:b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4565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9"/>
                      <w:szCs w:val="19"/>
                    </w:rPr>
                  </w:pPr>
                  <w:r w:rsidRPr="008E7AAB">
                    <w:rPr>
                      <w:rFonts w:cs="Times New Roman"/>
                      <w:sz w:val="19"/>
                      <w:szCs w:val="19"/>
                    </w:rPr>
                    <w:t>Asins paraugu ievākšanas stobriņš ar K</w:t>
                  </w:r>
                  <w:r w:rsidRPr="008E7AAB">
                    <w:rPr>
                      <w:rFonts w:cs="Times New Roman"/>
                      <w:sz w:val="19"/>
                      <w:szCs w:val="19"/>
                      <w:vertAlign w:val="subscript"/>
                    </w:rPr>
                    <w:t>2</w:t>
                  </w:r>
                  <w:r w:rsidRPr="008E7AAB">
                    <w:rPr>
                      <w:rFonts w:cs="Times New Roman"/>
                      <w:sz w:val="19"/>
                      <w:szCs w:val="19"/>
                    </w:rPr>
                    <w:t>EDTA, 10 ml</w:t>
                  </w:r>
                </w:p>
              </w:tc>
              <w:tc>
                <w:tcPr>
                  <w:tcW w:w="992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8E7AAB">
                    <w:rPr>
                      <w:rFonts w:cs="Times New Roman"/>
                      <w:bCs/>
                      <w:sz w:val="18"/>
                      <w:szCs w:val="18"/>
                    </w:rPr>
                    <w:t>16.00</w:t>
                  </w:r>
                </w:p>
              </w:tc>
              <w:tc>
                <w:tcPr>
                  <w:tcW w:w="2836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8E7AAB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SIA “</w:t>
                  </w:r>
                  <w:proofErr w:type="spellStart"/>
                  <w:r w:rsidRPr="008E7AAB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Interlux</w:t>
                  </w:r>
                  <w:proofErr w:type="spellEnd"/>
                  <w:r w:rsidRPr="008E7AAB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”</w:t>
                  </w:r>
                </w:p>
              </w:tc>
            </w:tr>
            <w:tr w:rsidR="00E377FE" w:rsidRPr="008E7AAB" w:rsidTr="0005726C">
              <w:trPr>
                <w:trHeight w:val="398"/>
              </w:trPr>
              <w:tc>
                <w:tcPr>
                  <w:tcW w:w="709" w:type="dxa"/>
                  <w:shd w:val="clear" w:color="auto" w:fill="auto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8E7AAB">
                    <w:rPr>
                      <w:rFonts w:cs="Times New Roman"/>
                      <w:b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4565" w:type="dxa"/>
                  <w:shd w:val="clear" w:color="auto" w:fill="auto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9"/>
                      <w:szCs w:val="19"/>
                      <w:lang w:val="en-GB"/>
                    </w:rPr>
                  </w:pPr>
                  <w:r w:rsidRPr="008E7AAB">
                    <w:rPr>
                      <w:rFonts w:cs="Times New Roman"/>
                      <w:sz w:val="19"/>
                      <w:szCs w:val="19"/>
                    </w:rPr>
                    <w:t>Biopsijas adatas</w:t>
                  </w:r>
                </w:p>
              </w:tc>
              <w:tc>
                <w:tcPr>
                  <w:tcW w:w="992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bCs/>
                      <w:sz w:val="18"/>
                      <w:szCs w:val="18"/>
                      <w:lang w:val="en-GB"/>
                    </w:rPr>
                  </w:pPr>
                  <w:r w:rsidRPr="008E7AAB">
                    <w:rPr>
                      <w:rFonts w:cs="Times New Roman"/>
                      <w:bCs/>
                      <w:sz w:val="18"/>
                      <w:szCs w:val="18"/>
                    </w:rPr>
                    <w:t>99.80</w:t>
                  </w:r>
                </w:p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6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8E7AAB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SIA “</w:t>
                  </w:r>
                  <w:proofErr w:type="spellStart"/>
                  <w:r w:rsidRPr="008E7AAB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Interlux</w:t>
                  </w:r>
                  <w:proofErr w:type="spellEnd"/>
                  <w:r w:rsidRPr="008E7AAB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”</w:t>
                  </w:r>
                </w:p>
              </w:tc>
            </w:tr>
            <w:tr w:rsidR="00E377FE" w:rsidRPr="008E7AAB" w:rsidTr="0005726C">
              <w:trPr>
                <w:trHeight w:val="321"/>
              </w:trPr>
              <w:tc>
                <w:tcPr>
                  <w:tcW w:w="709" w:type="dxa"/>
                  <w:shd w:val="clear" w:color="auto" w:fill="auto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8E7AAB">
                    <w:rPr>
                      <w:rFonts w:cs="Times New Roman"/>
                      <w:b/>
                      <w:sz w:val="20"/>
                      <w:szCs w:val="20"/>
                    </w:rPr>
                    <w:t>15.</w:t>
                  </w:r>
                </w:p>
              </w:tc>
              <w:tc>
                <w:tcPr>
                  <w:tcW w:w="4565" w:type="dxa"/>
                  <w:shd w:val="clear" w:color="auto" w:fill="auto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9"/>
                      <w:szCs w:val="19"/>
                    </w:rPr>
                  </w:pPr>
                  <w:proofErr w:type="spellStart"/>
                  <w:r w:rsidRPr="008E7AAB">
                    <w:rPr>
                      <w:rFonts w:cs="Times New Roman"/>
                      <w:sz w:val="19"/>
                      <w:szCs w:val="19"/>
                    </w:rPr>
                    <w:t>Citoloģiskā</w:t>
                  </w:r>
                  <w:proofErr w:type="spellEnd"/>
                  <w:r w:rsidRPr="008E7AAB">
                    <w:rPr>
                      <w:rFonts w:cs="Times New Roman"/>
                      <w:sz w:val="19"/>
                      <w:szCs w:val="19"/>
                    </w:rPr>
                    <w:t xml:space="preserve"> birstīte</w:t>
                  </w:r>
                </w:p>
              </w:tc>
              <w:tc>
                <w:tcPr>
                  <w:tcW w:w="992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8E7AAB">
                    <w:rPr>
                      <w:rFonts w:cs="Times New Roman"/>
                      <w:sz w:val="18"/>
                      <w:szCs w:val="18"/>
                    </w:rPr>
                    <w:t>6.2</w:t>
                  </w:r>
                </w:p>
              </w:tc>
              <w:tc>
                <w:tcPr>
                  <w:tcW w:w="2836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8E7AAB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SIA “</w:t>
                  </w:r>
                  <w:proofErr w:type="spellStart"/>
                  <w:r w:rsidRPr="008E7AAB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Arbor</w:t>
                  </w:r>
                  <w:proofErr w:type="spellEnd"/>
                  <w:r w:rsidRPr="008E7AAB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Medical Korporācija”</w:t>
                  </w:r>
                </w:p>
              </w:tc>
            </w:tr>
            <w:tr w:rsidR="00E377FE" w:rsidRPr="008E7AAB" w:rsidTr="0005726C">
              <w:tc>
                <w:tcPr>
                  <w:tcW w:w="709" w:type="dxa"/>
                  <w:shd w:val="clear" w:color="auto" w:fill="auto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8E7AAB">
                    <w:rPr>
                      <w:rFonts w:cs="Times New Roman"/>
                      <w:b/>
                      <w:sz w:val="20"/>
                      <w:szCs w:val="20"/>
                    </w:rPr>
                    <w:t>16.</w:t>
                  </w:r>
                </w:p>
              </w:tc>
              <w:tc>
                <w:tcPr>
                  <w:tcW w:w="4565" w:type="dxa"/>
                  <w:shd w:val="clear" w:color="auto" w:fill="auto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9"/>
                      <w:szCs w:val="19"/>
                    </w:rPr>
                  </w:pPr>
                  <w:r w:rsidRPr="008E7AAB">
                    <w:rPr>
                      <w:rFonts w:cs="Times New Roman"/>
                      <w:sz w:val="19"/>
                      <w:szCs w:val="19"/>
                    </w:rPr>
                    <w:t xml:space="preserve">Ginekoloģiskā </w:t>
                  </w:r>
                  <w:proofErr w:type="spellStart"/>
                  <w:r w:rsidRPr="008E7AAB">
                    <w:rPr>
                      <w:rFonts w:cs="Times New Roman"/>
                      <w:sz w:val="19"/>
                      <w:szCs w:val="19"/>
                    </w:rPr>
                    <w:t>špātele</w:t>
                  </w:r>
                  <w:proofErr w:type="spellEnd"/>
                </w:p>
              </w:tc>
              <w:tc>
                <w:tcPr>
                  <w:tcW w:w="992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8E7AAB">
                    <w:rPr>
                      <w:rFonts w:cs="Times New Roman"/>
                      <w:sz w:val="18"/>
                      <w:szCs w:val="18"/>
                    </w:rPr>
                    <w:t>2.50</w:t>
                  </w:r>
                </w:p>
              </w:tc>
              <w:tc>
                <w:tcPr>
                  <w:tcW w:w="2836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8E7AAB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SIA “</w:t>
                  </w:r>
                  <w:proofErr w:type="spellStart"/>
                  <w:r w:rsidRPr="008E7AAB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Arbor</w:t>
                  </w:r>
                  <w:proofErr w:type="spellEnd"/>
                  <w:r w:rsidRPr="008E7AAB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Medical Korporācija”</w:t>
                  </w:r>
                </w:p>
              </w:tc>
            </w:tr>
            <w:tr w:rsidR="00E377FE" w:rsidRPr="008E7AAB" w:rsidTr="0005726C">
              <w:tc>
                <w:tcPr>
                  <w:tcW w:w="709" w:type="dxa"/>
                  <w:shd w:val="clear" w:color="auto" w:fill="auto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8E7AAB">
                    <w:rPr>
                      <w:rFonts w:cs="Times New Roman"/>
                      <w:b/>
                      <w:sz w:val="20"/>
                      <w:szCs w:val="20"/>
                    </w:rPr>
                    <w:t>20.</w:t>
                  </w:r>
                </w:p>
              </w:tc>
              <w:tc>
                <w:tcPr>
                  <w:tcW w:w="4565" w:type="dxa"/>
                  <w:shd w:val="clear" w:color="auto" w:fill="auto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9"/>
                      <w:szCs w:val="19"/>
                    </w:rPr>
                  </w:pPr>
                  <w:r w:rsidRPr="008E7AAB">
                    <w:rPr>
                      <w:rFonts w:cs="Times New Roman"/>
                      <w:sz w:val="19"/>
                      <w:szCs w:val="19"/>
                    </w:rPr>
                    <w:t>Iekārtu dezinfekcijas mitrās salvetes</w:t>
                  </w:r>
                </w:p>
              </w:tc>
              <w:tc>
                <w:tcPr>
                  <w:tcW w:w="992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8E7AAB">
                    <w:rPr>
                      <w:rFonts w:cs="Times New Roman"/>
                      <w:bCs/>
                      <w:sz w:val="18"/>
                      <w:szCs w:val="18"/>
                    </w:rPr>
                    <w:t>5.92</w:t>
                  </w:r>
                </w:p>
              </w:tc>
              <w:tc>
                <w:tcPr>
                  <w:tcW w:w="2836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8E7AAB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SIA “</w:t>
                  </w:r>
                  <w:proofErr w:type="spellStart"/>
                  <w:r w:rsidRPr="008E7AAB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Interlux</w:t>
                  </w:r>
                  <w:proofErr w:type="spellEnd"/>
                  <w:r w:rsidRPr="008E7AAB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”</w:t>
                  </w:r>
                </w:p>
              </w:tc>
            </w:tr>
            <w:tr w:rsidR="00E377FE" w:rsidRPr="008E7AAB" w:rsidTr="0005726C">
              <w:tc>
                <w:tcPr>
                  <w:tcW w:w="709" w:type="dxa"/>
                  <w:shd w:val="clear" w:color="auto" w:fill="auto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8E7AAB">
                    <w:rPr>
                      <w:rFonts w:cs="Times New Roman"/>
                      <w:b/>
                      <w:sz w:val="20"/>
                      <w:szCs w:val="20"/>
                    </w:rPr>
                    <w:t>21.</w:t>
                  </w:r>
                </w:p>
              </w:tc>
              <w:tc>
                <w:tcPr>
                  <w:tcW w:w="4565" w:type="dxa"/>
                  <w:shd w:val="clear" w:color="auto" w:fill="auto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9"/>
                      <w:szCs w:val="19"/>
                    </w:rPr>
                  </w:pPr>
                  <w:r w:rsidRPr="008E7AAB">
                    <w:rPr>
                      <w:rFonts w:cs="Times New Roman"/>
                      <w:sz w:val="19"/>
                      <w:szCs w:val="19"/>
                    </w:rPr>
                    <w:t>Izsmidzināms iekārtu dezinfekcijas līdzeklis</w:t>
                  </w:r>
                </w:p>
              </w:tc>
              <w:tc>
                <w:tcPr>
                  <w:tcW w:w="992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8E7AAB">
                    <w:rPr>
                      <w:rFonts w:cs="Times New Roman"/>
                      <w:bCs/>
                      <w:sz w:val="18"/>
                      <w:szCs w:val="18"/>
                    </w:rPr>
                    <w:t>3.20</w:t>
                  </w:r>
                </w:p>
              </w:tc>
              <w:tc>
                <w:tcPr>
                  <w:tcW w:w="2836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8E7AAB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SIA “</w:t>
                  </w:r>
                  <w:proofErr w:type="spellStart"/>
                  <w:r w:rsidRPr="008E7AAB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Interlux</w:t>
                  </w:r>
                  <w:proofErr w:type="spellEnd"/>
                  <w:r w:rsidRPr="008E7AAB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”</w:t>
                  </w:r>
                </w:p>
              </w:tc>
            </w:tr>
            <w:tr w:rsidR="00E377FE" w:rsidRPr="008E7AAB" w:rsidTr="0005726C">
              <w:tc>
                <w:tcPr>
                  <w:tcW w:w="709" w:type="dxa"/>
                  <w:shd w:val="clear" w:color="auto" w:fill="auto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8E7AAB">
                    <w:rPr>
                      <w:rFonts w:cs="Times New Roman"/>
                      <w:b/>
                      <w:sz w:val="20"/>
                      <w:szCs w:val="20"/>
                    </w:rPr>
                    <w:t>22.</w:t>
                  </w:r>
                </w:p>
              </w:tc>
              <w:tc>
                <w:tcPr>
                  <w:tcW w:w="4565" w:type="dxa"/>
                  <w:shd w:val="clear" w:color="auto" w:fill="auto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9"/>
                      <w:szCs w:val="19"/>
                    </w:rPr>
                  </w:pPr>
                  <w:r w:rsidRPr="008E7AAB">
                    <w:rPr>
                      <w:rFonts w:cs="Times New Roman"/>
                      <w:sz w:val="19"/>
                      <w:szCs w:val="19"/>
                    </w:rPr>
                    <w:t>Medicīnisko atkritumu tvertne</w:t>
                  </w:r>
                </w:p>
              </w:tc>
              <w:tc>
                <w:tcPr>
                  <w:tcW w:w="992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8"/>
                      <w:szCs w:val="18"/>
                      <w:lang w:val="en-GB"/>
                    </w:rPr>
                  </w:pPr>
                  <w:r w:rsidRPr="008E7AAB">
                    <w:rPr>
                      <w:rFonts w:cs="Times New Roman"/>
                      <w:sz w:val="18"/>
                      <w:szCs w:val="18"/>
                    </w:rPr>
                    <w:t>0.58</w:t>
                  </w:r>
                </w:p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6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8E7AAB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SIA “</w:t>
                  </w:r>
                  <w:r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SARSTEDT</w:t>
                  </w:r>
                  <w:r w:rsidRPr="008E7AAB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”</w:t>
                  </w:r>
                </w:p>
              </w:tc>
            </w:tr>
            <w:tr w:rsidR="00E377FE" w:rsidRPr="008E7AAB" w:rsidTr="0005726C">
              <w:tc>
                <w:tcPr>
                  <w:tcW w:w="709" w:type="dxa"/>
                  <w:shd w:val="clear" w:color="auto" w:fill="auto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8E7AAB">
                    <w:rPr>
                      <w:rFonts w:cs="Times New Roman"/>
                      <w:b/>
                      <w:sz w:val="20"/>
                      <w:szCs w:val="20"/>
                    </w:rPr>
                    <w:t>23.</w:t>
                  </w:r>
                </w:p>
              </w:tc>
              <w:tc>
                <w:tcPr>
                  <w:tcW w:w="4565" w:type="dxa"/>
                  <w:shd w:val="clear" w:color="auto" w:fill="auto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9"/>
                      <w:szCs w:val="19"/>
                    </w:rPr>
                  </w:pPr>
                  <w:r w:rsidRPr="008E7AAB">
                    <w:rPr>
                      <w:rFonts w:cs="Times New Roman"/>
                      <w:sz w:val="19"/>
                      <w:szCs w:val="19"/>
                    </w:rPr>
                    <w:t>Medicīnisko šuvju materiālu komplekts</w:t>
                  </w:r>
                </w:p>
              </w:tc>
              <w:tc>
                <w:tcPr>
                  <w:tcW w:w="992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8E7AAB">
                    <w:rPr>
                      <w:rFonts w:cs="Times New Roman"/>
                      <w:sz w:val="18"/>
                      <w:szCs w:val="18"/>
                    </w:rPr>
                    <w:t>6.11</w:t>
                  </w:r>
                </w:p>
              </w:tc>
              <w:tc>
                <w:tcPr>
                  <w:tcW w:w="2836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8E7AAB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SIA “</w:t>
                  </w:r>
                  <w:proofErr w:type="spellStart"/>
                  <w:r w:rsidRPr="008E7AAB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Medeksperts</w:t>
                  </w:r>
                  <w:proofErr w:type="spellEnd"/>
                  <w:r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”</w:t>
                  </w:r>
                </w:p>
              </w:tc>
            </w:tr>
            <w:tr w:rsidR="00E377FE" w:rsidRPr="008E7AAB" w:rsidTr="0005726C">
              <w:tc>
                <w:tcPr>
                  <w:tcW w:w="709" w:type="dxa"/>
                  <w:shd w:val="clear" w:color="auto" w:fill="auto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8E7AAB">
                    <w:rPr>
                      <w:rFonts w:cs="Times New Roman"/>
                      <w:b/>
                      <w:sz w:val="20"/>
                      <w:szCs w:val="20"/>
                    </w:rPr>
                    <w:t>24.</w:t>
                  </w:r>
                </w:p>
              </w:tc>
              <w:tc>
                <w:tcPr>
                  <w:tcW w:w="4565" w:type="dxa"/>
                  <w:shd w:val="clear" w:color="auto" w:fill="auto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9"/>
                      <w:szCs w:val="19"/>
                    </w:rPr>
                  </w:pPr>
                  <w:r w:rsidRPr="008E7AAB">
                    <w:rPr>
                      <w:rFonts w:cs="Times New Roman"/>
                      <w:sz w:val="19"/>
                      <w:szCs w:val="19"/>
                    </w:rPr>
                    <w:t>Medicīnisko šuvju materiālu komplekts</w:t>
                  </w:r>
                </w:p>
              </w:tc>
              <w:tc>
                <w:tcPr>
                  <w:tcW w:w="992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8E7AAB">
                    <w:rPr>
                      <w:rFonts w:cs="Times New Roman"/>
                      <w:sz w:val="18"/>
                      <w:szCs w:val="18"/>
                    </w:rPr>
                    <w:t>6.16</w:t>
                  </w:r>
                </w:p>
              </w:tc>
              <w:tc>
                <w:tcPr>
                  <w:tcW w:w="2836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8E7AAB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SIA “</w:t>
                  </w:r>
                  <w:proofErr w:type="spellStart"/>
                  <w:r w:rsidRPr="008E7AAB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Medeksperts</w:t>
                  </w:r>
                  <w:proofErr w:type="spellEnd"/>
                  <w:r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”</w:t>
                  </w:r>
                </w:p>
              </w:tc>
            </w:tr>
            <w:tr w:rsidR="00E377FE" w:rsidRPr="008E7AAB" w:rsidTr="0005726C">
              <w:tc>
                <w:tcPr>
                  <w:tcW w:w="709" w:type="dxa"/>
                  <w:shd w:val="clear" w:color="auto" w:fill="auto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8E7AAB">
                    <w:rPr>
                      <w:rFonts w:cs="Times New Roman"/>
                      <w:b/>
                      <w:sz w:val="20"/>
                      <w:szCs w:val="20"/>
                    </w:rPr>
                    <w:t>25.</w:t>
                  </w:r>
                </w:p>
              </w:tc>
              <w:tc>
                <w:tcPr>
                  <w:tcW w:w="4565" w:type="dxa"/>
                  <w:shd w:val="clear" w:color="auto" w:fill="auto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9"/>
                      <w:szCs w:val="19"/>
                    </w:rPr>
                  </w:pPr>
                  <w:r w:rsidRPr="008E7AAB">
                    <w:rPr>
                      <w:rFonts w:cs="Times New Roman"/>
                      <w:sz w:val="19"/>
                      <w:szCs w:val="19"/>
                    </w:rPr>
                    <w:t xml:space="preserve">Mehāniskā  8-kanālu pipete ar maināmu tilpumu, 0,5 - 10 </w:t>
                  </w:r>
                  <w:proofErr w:type="spellStart"/>
                  <w:r w:rsidRPr="008E7AAB">
                    <w:rPr>
                      <w:rFonts w:cs="Times New Roman"/>
                      <w:sz w:val="19"/>
                      <w:szCs w:val="19"/>
                    </w:rPr>
                    <w:t>µl</w:t>
                  </w:r>
                  <w:proofErr w:type="spellEnd"/>
                </w:p>
              </w:tc>
              <w:tc>
                <w:tcPr>
                  <w:tcW w:w="992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8E7AAB">
                    <w:rPr>
                      <w:rFonts w:cs="Times New Roman"/>
                      <w:sz w:val="18"/>
                      <w:szCs w:val="18"/>
                    </w:rPr>
                    <w:t>410.00</w:t>
                  </w:r>
                </w:p>
              </w:tc>
              <w:tc>
                <w:tcPr>
                  <w:tcW w:w="2836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8E7AAB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SIA “</w:t>
                  </w:r>
                  <w:proofErr w:type="spellStart"/>
                  <w:r w:rsidRPr="008E7AAB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Mediq</w:t>
                  </w:r>
                  <w:proofErr w:type="spellEnd"/>
                  <w:r w:rsidRPr="008E7AAB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Latvija”</w:t>
                  </w:r>
                </w:p>
              </w:tc>
            </w:tr>
            <w:tr w:rsidR="00E377FE" w:rsidRPr="008E7AAB" w:rsidTr="0005726C">
              <w:tc>
                <w:tcPr>
                  <w:tcW w:w="709" w:type="dxa"/>
                  <w:shd w:val="clear" w:color="auto" w:fill="auto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8E7AAB">
                    <w:rPr>
                      <w:rFonts w:cs="Times New Roman"/>
                      <w:b/>
                      <w:sz w:val="20"/>
                      <w:szCs w:val="20"/>
                    </w:rPr>
                    <w:t>26.</w:t>
                  </w:r>
                </w:p>
              </w:tc>
              <w:tc>
                <w:tcPr>
                  <w:tcW w:w="4565" w:type="dxa"/>
                  <w:shd w:val="clear" w:color="auto" w:fill="auto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9"/>
                      <w:szCs w:val="19"/>
                    </w:rPr>
                  </w:pPr>
                  <w:r w:rsidRPr="008E7AAB">
                    <w:rPr>
                      <w:rFonts w:cs="Times New Roman"/>
                      <w:sz w:val="19"/>
                      <w:szCs w:val="19"/>
                    </w:rPr>
                    <w:t xml:space="preserve">Mehāniskā  8-kanālu pipete ar maināmu tilpumu, 10 - 100 </w:t>
                  </w:r>
                  <w:proofErr w:type="spellStart"/>
                  <w:r w:rsidRPr="008E7AAB">
                    <w:rPr>
                      <w:rFonts w:cs="Times New Roman"/>
                      <w:sz w:val="19"/>
                      <w:szCs w:val="19"/>
                    </w:rPr>
                    <w:t>µl</w:t>
                  </w:r>
                  <w:proofErr w:type="spellEnd"/>
                </w:p>
              </w:tc>
              <w:tc>
                <w:tcPr>
                  <w:tcW w:w="992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8E7AAB">
                    <w:rPr>
                      <w:rFonts w:cs="Times New Roman"/>
                      <w:sz w:val="18"/>
                      <w:szCs w:val="18"/>
                    </w:rPr>
                    <w:t>410.00</w:t>
                  </w:r>
                </w:p>
              </w:tc>
              <w:tc>
                <w:tcPr>
                  <w:tcW w:w="2836" w:type="dxa"/>
                  <w:vAlign w:val="center"/>
                </w:tcPr>
                <w:p w:rsidR="00E377FE" w:rsidRPr="00724259" w:rsidRDefault="00E377FE" w:rsidP="0005726C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724259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SIA “</w:t>
                  </w:r>
                  <w:proofErr w:type="spellStart"/>
                  <w:r w:rsidRPr="00724259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Mediq</w:t>
                  </w:r>
                  <w:proofErr w:type="spellEnd"/>
                  <w:r w:rsidRPr="00724259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Latvija”</w:t>
                  </w:r>
                </w:p>
              </w:tc>
            </w:tr>
            <w:tr w:rsidR="00E377FE" w:rsidRPr="008E7AAB" w:rsidTr="0005726C">
              <w:tc>
                <w:tcPr>
                  <w:tcW w:w="709" w:type="dxa"/>
                  <w:shd w:val="clear" w:color="auto" w:fill="auto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8E7AAB">
                    <w:rPr>
                      <w:rFonts w:cs="Times New Roman"/>
                      <w:b/>
                      <w:sz w:val="20"/>
                      <w:szCs w:val="20"/>
                    </w:rPr>
                    <w:t>27.</w:t>
                  </w:r>
                </w:p>
              </w:tc>
              <w:tc>
                <w:tcPr>
                  <w:tcW w:w="4565" w:type="dxa"/>
                  <w:shd w:val="clear" w:color="auto" w:fill="auto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9"/>
                      <w:szCs w:val="19"/>
                    </w:rPr>
                  </w:pPr>
                  <w:r w:rsidRPr="008E7AAB">
                    <w:rPr>
                      <w:rFonts w:cs="Times New Roman"/>
                      <w:sz w:val="19"/>
                      <w:szCs w:val="19"/>
                    </w:rPr>
                    <w:t xml:space="preserve">Mehāniskā vienkanāla pipete ar maināmu tilpumu, 0,1 - 3 </w:t>
                  </w:r>
                  <w:proofErr w:type="spellStart"/>
                  <w:r w:rsidRPr="008E7AAB">
                    <w:rPr>
                      <w:rFonts w:cs="Times New Roman"/>
                      <w:sz w:val="19"/>
                      <w:szCs w:val="19"/>
                    </w:rPr>
                    <w:t>µl</w:t>
                  </w:r>
                  <w:proofErr w:type="spellEnd"/>
                </w:p>
              </w:tc>
              <w:tc>
                <w:tcPr>
                  <w:tcW w:w="992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8E7AAB">
                    <w:rPr>
                      <w:rFonts w:cs="Times New Roman"/>
                      <w:sz w:val="18"/>
                      <w:szCs w:val="18"/>
                    </w:rPr>
                    <w:t>135.00</w:t>
                  </w:r>
                </w:p>
              </w:tc>
              <w:tc>
                <w:tcPr>
                  <w:tcW w:w="2836" w:type="dxa"/>
                  <w:vAlign w:val="center"/>
                </w:tcPr>
                <w:p w:rsidR="00E377FE" w:rsidRPr="00724259" w:rsidRDefault="00E377FE" w:rsidP="0005726C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724259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SIA “</w:t>
                  </w:r>
                  <w:proofErr w:type="spellStart"/>
                  <w:r w:rsidRPr="00724259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Mediq</w:t>
                  </w:r>
                  <w:proofErr w:type="spellEnd"/>
                  <w:r w:rsidRPr="00724259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Latvija”</w:t>
                  </w:r>
                </w:p>
              </w:tc>
            </w:tr>
            <w:tr w:rsidR="00E377FE" w:rsidRPr="008E7AAB" w:rsidTr="0005726C">
              <w:tc>
                <w:tcPr>
                  <w:tcW w:w="709" w:type="dxa"/>
                  <w:shd w:val="clear" w:color="auto" w:fill="auto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8E7AAB">
                    <w:rPr>
                      <w:rFonts w:cs="Times New Roman"/>
                      <w:b/>
                      <w:sz w:val="20"/>
                      <w:szCs w:val="20"/>
                    </w:rPr>
                    <w:t>28.</w:t>
                  </w:r>
                </w:p>
              </w:tc>
              <w:tc>
                <w:tcPr>
                  <w:tcW w:w="4565" w:type="dxa"/>
                  <w:shd w:val="clear" w:color="auto" w:fill="auto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9"/>
                      <w:szCs w:val="19"/>
                    </w:rPr>
                  </w:pPr>
                  <w:r w:rsidRPr="008E7AAB">
                    <w:rPr>
                      <w:rFonts w:cs="Times New Roman"/>
                      <w:sz w:val="19"/>
                      <w:szCs w:val="19"/>
                    </w:rPr>
                    <w:t xml:space="preserve">Mehāniskā vienkanāla pipete ar maināmu tilpumu, 0,5 - 10 </w:t>
                  </w:r>
                  <w:proofErr w:type="spellStart"/>
                  <w:r w:rsidRPr="008E7AAB">
                    <w:rPr>
                      <w:rFonts w:cs="Times New Roman"/>
                      <w:sz w:val="19"/>
                      <w:szCs w:val="19"/>
                    </w:rPr>
                    <w:t>µl</w:t>
                  </w:r>
                  <w:proofErr w:type="spellEnd"/>
                </w:p>
              </w:tc>
              <w:tc>
                <w:tcPr>
                  <w:tcW w:w="992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8E7AAB">
                    <w:rPr>
                      <w:rFonts w:cs="Times New Roman"/>
                      <w:sz w:val="18"/>
                      <w:szCs w:val="18"/>
                    </w:rPr>
                    <w:t>130.00</w:t>
                  </w:r>
                </w:p>
              </w:tc>
              <w:tc>
                <w:tcPr>
                  <w:tcW w:w="2836" w:type="dxa"/>
                  <w:vAlign w:val="center"/>
                </w:tcPr>
                <w:p w:rsidR="00E377FE" w:rsidRPr="00724259" w:rsidRDefault="00E377FE" w:rsidP="0005726C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724259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SIA “</w:t>
                  </w:r>
                  <w:proofErr w:type="spellStart"/>
                  <w:r w:rsidRPr="00724259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Mediq</w:t>
                  </w:r>
                  <w:proofErr w:type="spellEnd"/>
                  <w:r w:rsidRPr="00724259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Latvija”</w:t>
                  </w:r>
                </w:p>
              </w:tc>
            </w:tr>
            <w:tr w:rsidR="00E377FE" w:rsidRPr="008E7AAB" w:rsidTr="0005726C">
              <w:tc>
                <w:tcPr>
                  <w:tcW w:w="709" w:type="dxa"/>
                  <w:shd w:val="clear" w:color="auto" w:fill="auto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8E7AAB">
                    <w:rPr>
                      <w:rFonts w:cs="Times New Roman"/>
                      <w:b/>
                      <w:sz w:val="20"/>
                      <w:szCs w:val="20"/>
                    </w:rPr>
                    <w:t>29.</w:t>
                  </w:r>
                </w:p>
              </w:tc>
              <w:tc>
                <w:tcPr>
                  <w:tcW w:w="4565" w:type="dxa"/>
                  <w:shd w:val="clear" w:color="auto" w:fill="auto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9"/>
                      <w:szCs w:val="19"/>
                    </w:rPr>
                  </w:pPr>
                  <w:r w:rsidRPr="008E7AAB">
                    <w:rPr>
                      <w:rFonts w:cs="Times New Roman"/>
                      <w:sz w:val="19"/>
                      <w:szCs w:val="19"/>
                    </w:rPr>
                    <w:t xml:space="preserve">Mehāniskā vienkanāla pipete ar maināmu tilpumu, 10 - 100 </w:t>
                  </w:r>
                  <w:proofErr w:type="spellStart"/>
                  <w:r w:rsidRPr="008E7AAB">
                    <w:rPr>
                      <w:rFonts w:cs="Times New Roman"/>
                      <w:sz w:val="19"/>
                      <w:szCs w:val="19"/>
                    </w:rPr>
                    <w:t>µl</w:t>
                  </w:r>
                  <w:proofErr w:type="spellEnd"/>
                </w:p>
              </w:tc>
              <w:tc>
                <w:tcPr>
                  <w:tcW w:w="992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8E7AAB">
                    <w:rPr>
                      <w:rFonts w:cs="Times New Roman"/>
                      <w:sz w:val="18"/>
                      <w:szCs w:val="18"/>
                    </w:rPr>
                    <w:t>130.00</w:t>
                  </w:r>
                </w:p>
              </w:tc>
              <w:tc>
                <w:tcPr>
                  <w:tcW w:w="2836" w:type="dxa"/>
                  <w:vAlign w:val="center"/>
                </w:tcPr>
                <w:p w:rsidR="00E377FE" w:rsidRPr="00724259" w:rsidRDefault="00E377FE" w:rsidP="0005726C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724259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SIA “</w:t>
                  </w:r>
                  <w:proofErr w:type="spellStart"/>
                  <w:r w:rsidRPr="00724259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Mediq</w:t>
                  </w:r>
                  <w:proofErr w:type="spellEnd"/>
                  <w:r w:rsidRPr="00724259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Latvija”</w:t>
                  </w:r>
                </w:p>
              </w:tc>
            </w:tr>
            <w:tr w:rsidR="00E377FE" w:rsidRPr="008E7AAB" w:rsidTr="0005726C">
              <w:tc>
                <w:tcPr>
                  <w:tcW w:w="709" w:type="dxa"/>
                  <w:shd w:val="clear" w:color="auto" w:fill="auto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8E7AAB">
                    <w:rPr>
                      <w:rFonts w:cs="Times New Roman"/>
                      <w:b/>
                      <w:sz w:val="20"/>
                      <w:szCs w:val="20"/>
                    </w:rPr>
                    <w:t>30.</w:t>
                  </w:r>
                </w:p>
              </w:tc>
              <w:tc>
                <w:tcPr>
                  <w:tcW w:w="4565" w:type="dxa"/>
                  <w:shd w:val="clear" w:color="auto" w:fill="auto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9"/>
                      <w:szCs w:val="19"/>
                    </w:rPr>
                  </w:pPr>
                  <w:r w:rsidRPr="008E7AAB">
                    <w:rPr>
                      <w:rFonts w:cs="Times New Roman"/>
                      <w:sz w:val="19"/>
                      <w:szCs w:val="19"/>
                    </w:rPr>
                    <w:t xml:space="preserve">Mehāniskā vienkanāla pipete ar maināmu tilpumu, 100 - 1000 </w:t>
                  </w:r>
                  <w:proofErr w:type="spellStart"/>
                  <w:r w:rsidRPr="008E7AAB">
                    <w:rPr>
                      <w:rFonts w:cs="Times New Roman"/>
                      <w:sz w:val="19"/>
                      <w:szCs w:val="19"/>
                    </w:rPr>
                    <w:t>µl</w:t>
                  </w:r>
                  <w:proofErr w:type="spellEnd"/>
                </w:p>
              </w:tc>
              <w:tc>
                <w:tcPr>
                  <w:tcW w:w="992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8E7AAB">
                    <w:rPr>
                      <w:rFonts w:cs="Times New Roman"/>
                      <w:sz w:val="18"/>
                      <w:szCs w:val="18"/>
                    </w:rPr>
                    <w:t>130.00</w:t>
                  </w:r>
                </w:p>
              </w:tc>
              <w:tc>
                <w:tcPr>
                  <w:tcW w:w="2836" w:type="dxa"/>
                  <w:vAlign w:val="center"/>
                </w:tcPr>
                <w:p w:rsidR="00E377FE" w:rsidRPr="00724259" w:rsidRDefault="00E377FE" w:rsidP="0005726C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724259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SIA “</w:t>
                  </w:r>
                  <w:proofErr w:type="spellStart"/>
                  <w:r w:rsidRPr="00724259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Mediq</w:t>
                  </w:r>
                  <w:proofErr w:type="spellEnd"/>
                  <w:r w:rsidRPr="00724259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Latvija”</w:t>
                  </w:r>
                </w:p>
              </w:tc>
            </w:tr>
            <w:tr w:rsidR="00E377FE" w:rsidRPr="008E7AAB" w:rsidTr="0005726C">
              <w:tc>
                <w:tcPr>
                  <w:tcW w:w="709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8E7AAB">
                    <w:rPr>
                      <w:rFonts w:cs="Times New Roman"/>
                      <w:b/>
                      <w:sz w:val="20"/>
                      <w:szCs w:val="20"/>
                    </w:rPr>
                    <w:t>31.</w:t>
                  </w:r>
                </w:p>
              </w:tc>
              <w:tc>
                <w:tcPr>
                  <w:tcW w:w="4565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9"/>
                      <w:szCs w:val="19"/>
                    </w:rPr>
                  </w:pPr>
                  <w:r w:rsidRPr="008E7AAB">
                    <w:rPr>
                      <w:rFonts w:cs="Times New Roman"/>
                      <w:sz w:val="19"/>
                      <w:szCs w:val="19"/>
                    </w:rPr>
                    <w:t xml:space="preserve">Mehāniskā vienkanāla pipete ar maināmu tilpumu, 2 - 20 </w:t>
                  </w:r>
                  <w:proofErr w:type="spellStart"/>
                  <w:r w:rsidRPr="008E7AAB">
                    <w:rPr>
                      <w:rFonts w:cs="Times New Roman"/>
                      <w:sz w:val="19"/>
                      <w:szCs w:val="19"/>
                    </w:rPr>
                    <w:t>µl</w:t>
                  </w:r>
                  <w:proofErr w:type="spellEnd"/>
                </w:p>
              </w:tc>
              <w:tc>
                <w:tcPr>
                  <w:tcW w:w="992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8E7AAB">
                    <w:rPr>
                      <w:rFonts w:cs="Times New Roman"/>
                      <w:sz w:val="18"/>
                      <w:szCs w:val="18"/>
                    </w:rPr>
                    <w:t>130.00</w:t>
                  </w:r>
                </w:p>
              </w:tc>
              <w:tc>
                <w:tcPr>
                  <w:tcW w:w="2836" w:type="dxa"/>
                  <w:vAlign w:val="center"/>
                </w:tcPr>
                <w:p w:rsidR="00E377FE" w:rsidRPr="00724259" w:rsidRDefault="00E377FE" w:rsidP="0005726C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724259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SIA “</w:t>
                  </w:r>
                  <w:proofErr w:type="spellStart"/>
                  <w:r w:rsidRPr="00724259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Mediq</w:t>
                  </w:r>
                  <w:proofErr w:type="spellEnd"/>
                  <w:r w:rsidRPr="00724259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Latvija”</w:t>
                  </w:r>
                </w:p>
              </w:tc>
            </w:tr>
            <w:tr w:rsidR="00E377FE" w:rsidRPr="008E7AAB" w:rsidTr="0005726C">
              <w:tc>
                <w:tcPr>
                  <w:tcW w:w="709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8E7AAB">
                    <w:rPr>
                      <w:rFonts w:cs="Times New Roman"/>
                      <w:b/>
                      <w:sz w:val="20"/>
                      <w:szCs w:val="20"/>
                    </w:rPr>
                    <w:t>32.</w:t>
                  </w:r>
                </w:p>
              </w:tc>
              <w:tc>
                <w:tcPr>
                  <w:tcW w:w="4565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9"/>
                      <w:szCs w:val="19"/>
                    </w:rPr>
                  </w:pPr>
                  <w:r w:rsidRPr="008E7AAB">
                    <w:rPr>
                      <w:rFonts w:cs="Times New Roman"/>
                      <w:sz w:val="19"/>
                      <w:szCs w:val="19"/>
                    </w:rPr>
                    <w:t xml:space="preserve">Mehāniskā vienkanāla pipete ar maināmu tilpumu, 500 - 5000 </w:t>
                  </w:r>
                  <w:proofErr w:type="spellStart"/>
                  <w:r w:rsidRPr="008E7AAB">
                    <w:rPr>
                      <w:rFonts w:cs="Times New Roman"/>
                      <w:sz w:val="19"/>
                      <w:szCs w:val="19"/>
                    </w:rPr>
                    <w:t>µl</w:t>
                  </w:r>
                  <w:proofErr w:type="spellEnd"/>
                </w:p>
              </w:tc>
              <w:tc>
                <w:tcPr>
                  <w:tcW w:w="992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8E7AAB">
                    <w:rPr>
                      <w:rFonts w:cs="Times New Roman"/>
                      <w:sz w:val="18"/>
                      <w:szCs w:val="18"/>
                    </w:rPr>
                    <w:t>140.00</w:t>
                  </w:r>
                </w:p>
              </w:tc>
              <w:tc>
                <w:tcPr>
                  <w:tcW w:w="2836" w:type="dxa"/>
                  <w:vAlign w:val="center"/>
                </w:tcPr>
                <w:p w:rsidR="00E377FE" w:rsidRPr="00724259" w:rsidRDefault="00E377FE" w:rsidP="0005726C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724259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SIA “</w:t>
                  </w:r>
                  <w:proofErr w:type="spellStart"/>
                  <w:r w:rsidRPr="00724259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Mediq</w:t>
                  </w:r>
                  <w:proofErr w:type="spellEnd"/>
                  <w:r w:rsidRPr="00724259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Latvija”</w:t>
                  </w:r>
                </w:p>
              </w:tc>
            </w:tr>
            <w:tr w:rsidR="00E377FE" w:rsidRPr="008E7AAB" w:rsidTr="0005726C">
              <w:trPr>
                <w:trHeight w:val="141"/>
              </w:trPr>
              <w:tc>
                <w:tcPr>
                  <w:tcW w:w="709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8E7AAB">
                    <w:rPr>
                      <w:rFonts w:cs="Times New Roman"/>
                      <w:b/>
                      <w:sz w:val="20"/>
                      <w:szCs w:val="20"/>
                    </w:rPr>
                    <w:t>34.</w:t>
                  </w:r>
                </w:p>
              </w:tc>
              <w:tc>
                <w:tcPr>
                  <w:tcW w:w="4565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9"/>
                      <w:szCs w:val="19"/>
                    </w:rPr>
                  </w:pPr>
                  <w:proofErr w:type="spellStart"/>
                  <w:r w:rsidRPr="008E7AAB">
                    <w:rPr>
                      <w:rFonts w:cs="Times New Roman"/>
                      <w:sz w:val="19"/>
                      <w:szCs w:val="19"/>
                    </w:rPr>
                    <w:t>Multiadapteris</w:t>
                  </w:r>
                  <w:proofErr w:type="spellEnd"/>
                </w:p>
              </w:tc>
              <w:tc>
                <w:tcPr>
                  <w:tcW w:w="992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8"/>
                      <w:szCs w:val="18"/>
                      <w:lang w:val="en-GB"/>
                    </w:rPr>
                  </w:pPr>
                  <w:r w:rsidRPr="008E7AAB">
                    <w:rPr>
                      <w:rFonts w:cs="Times New Roman"/>
                      <w:sz w:val="18"/>
                      <w:szCs w:val="18"/>
                    </w:rPr>
                    <w:t>8.6</w:t>
                  </w:r>
                </w:p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6" w:type="dxa"/>
                  <w:vAlign w:val="center"/>
                </w:tcPr>
                <w:p w:rsidR="00E377FE" w:rsidRPr="00724259" w:rsidRDefault="00E377FE" w:rsidP="0005726C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724259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SIA “</w:t>
                  </w:r>
                  <w:r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SARSTEDT</w:t>
                  </w:r>
                  <w:r w:rsidRPr="00724259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”</w:t>
                  </w:r>
                </w:p>
              </w:tc>
            </w:tr>
            <w:tr w:rsidR="00E377FE" w:rsidRPr="008E7AAB" w:rsidTr="0005726C">
              <w:tc>
                <w:tcPr>
                  <w:tcW w:w="709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8E7AAB">
                    <w:rPr>
                      <w:rFonts w:cs="Times New Roman"/>
                      <w:b/>
                      <w:sz w:val="20"/>
                      <w:szCs w:val="20"/>
                    </w:rPr>
                    <w:t>35.</w:t>
                  </w:r>
                </w:p>
              </w:tc>
              <w:tc>
                <w:tcPr>
                  <w:tcW w:w="4565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9"/>
                      <w:szCs w:val="19"/>
                    </w:rPr>
                  </w:pPr>
                  <w:r w:rsidRPr="008E7AAB">
                    <w:rPr>
                      <w:rFonts w:cs="Times New Roman"/>
                      <w:sz w:val="19"/>
                      <w:szCs w:val="19"/>
                    </w:rPr>
                    <w:t xml:space="preserve">Negatīvā kontrole </w:t>
                  </w:r>
                  <w:proofErr w:type="spellStart"/>
                  <w:r w:rsidRPr="008E7AAB">
                    <w:rPr>
                      <w:rFonts w:cs="Times New Roman"/>
                      <w:sz w:val="19"/>
                      <w:szCs w:val="19"/>
                    </w:rPr>
                    <w:t>asisns</w:t>
                  </w:r>
                  <w:proofErr w:type="spellEnd"/>
                  <w:r w:rsidRPr="008E7AAB">
                    <w:rPr>
                      <w:rFonts w:cs="Times New Roman"/>
                      <w:sz w:val="19"/>
                      <w:szCs w:val="19"/>
                    </w:rPr>
                    <w:t xml:space="preserve"> grupu noteikšanai</w:t>
                  </w:r>
                </w:p>
              </w:tc>
              <w:tc>
                <w:tcPr>
                  <w:tcW w:w="992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8"/>
                      <w:szCs w:val="18"/>
                      <w:lang w:val="en-GB"/>
                    </w:rPr>
                  </w:pPr>
                  <w:r w:rsidRPr="008E7AAB">
                    <w:rPr>
                      <w:rFonts w:cs="Times New Roman"/>
                      <w:sz w:val="18"/>
                      <w:szCs w:val="18"/>
                    </w:rPr>
                    <w:t>14.24</w:t>
                  </w:r>
                </w:p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6" w:type="dxa"/>
                  <w:vAlign w:val="center"/>
                </w:tcPr>
                <w:p w:rsidR="00E377FE" w:rsidRPr="00724259" w:rsidRDefault="00E377FE" w:rsidP="0005726C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724259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SIA “</w:t>
                  </w:r>
                  <w:proofErr w:type="spellStart"/>
                  <w:r w:rsidRPr="00724259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Diamedica</w:t>
                  </w:r>
                  <w:proofErr w:type="spellEnd"/>
                  <w:r w:rsidRPr="00724259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”</w:t>
                  </w:r>
                </w:p>
              </w:tc>
            </w:tr>
            <w:tr w:rsidR="00E377FE" w:rsidRPr="008E7AAB" w:rsidTr="0005726C">
              <w:trPr>
                <w:trHeight w:val="281"/>
              </w:trPr>
              <w:tc>
                <w:tcPr>
                  <w:tcW w:w="709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8E7AAB">
                    <w:rPr>
                      <w:rFonts w:cs="Times New Roman"/>
                      <w:b/>
                      <w:sz w:val="20"/>
                      <w:szCs w:val="20"/>
                    </w:rPr>
                    <w:t>37.</w:t>
                  </w:r>
                </w:p>
              </w:tc>
              <w:tc>
                <w:tcPr>
                  <w:tcW w:w="4565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9"/>
                      <w:szCs w:val="19"/>
                    </w:rPr>
                  </w:pPr>
                  <w:r w:rsidRPr="008E7AAB">
                    <w:rPr>
                      <w:rFonts w:cs="Times New Roman"/>
                      <w:sz w:val="19"/>
                      <w:szCs w:val="19"/>
                    </w:rPr>
                    <w:t>PE (polietilēna) filtri</w:t>
                  </w:r>
                </w:p>
              </w:tc>
              <w:tc>
                <w:tcPr>
                  <w:tcW w:w="992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24.10</w:t>
                  </w:r>
                </w:p>
              </w:tc>
              <w:tc>
                <w:tcPr>
                  <w:tcW w:w="2836" w:type="dxa"/>
                  <w:vAlign w:val="center"/>
                </w:tcPr>
                <w:p w:rsidR="00E377FE" w:rsidRPr="00724259" w:rsidRDefault="00E377FE" w:rsidP="0005726C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724259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SIA “</w:t>
                  </w:r>
                  <w:proofErr w:type="spellStart"/>
                  <w:r w:rsidRPr="00724259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Mediq</w:t>
                  </w:r>
                  <w:proofErr w:type="spellEnd"/>
                  <w:r w:rsidRPr="00724259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Latvija”</w:t>
                  </w:r>
                </w:p>
              </w:tc>
            </w:tr>
            <w:tr w:rsidR="00E377FE" w:rsidRPr="00043B3B" w:rsidTr="0005726C">
              <w:trPr>
                <w:trHeight w:val="143"/>
              </w:trPr>
              <w:tc>
                <w:tcPr>
                  <w:tcW w:w="709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8E7AAB">
                    <w:rPr>
                      <w:rFonts w:cs="Times New Roman"/>
                      <w:b/>
                      <w:sz w:val="20"/>
                      <w:szCs w:val="20"/>
                    </w:rPr>
                    <w:t>38.</w:t>
                  </w:r>
                </w:p>
              </w:tc>
              <w:tc>
                <w:tcPr>
                  <w:tcW w:w="4565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9"/>
                      <w:szCs w:val="19"/>
                    </w:rPr>
                  </w:pPr>
                  <w:r w:rsidRPr="008E7AAB">
                    <w:rPr>
                      <w:rFonts w:cs="Times New Roman"/>
                      <w:sz w:val="19"/>
                      <w:szCs w:val="19"/>
                    </w:rPr>
                    <w:t>PE (polietilēna) filtri</w:t>
                  </w:r>
                </w:p>
              </w:tc>
              <w:tc>
                <w:tcPr>
                  <w:tcW w:w="992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24.10</w:t>
                  </w:r>
                </w:p>
              </w:tc>
              <w:tc>
                <w:tcPr>
                  <w:tcW w:w="2836" w:type="dxa"/>
                  <w:vAlign w:val="center"/>
                </w:tcPr>
                <w:p w:rsidR="00E377FE" w:rsidRPr="00724259" w:rsidRDefault="00E377FE" w:rsidP="0005726C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724259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SIA “</w:t>
                  </w:r>
                  <w:proofErr w:type="spellStart"/>
                  <w:r w:rsidRPr="00724259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Mediq</w:t>
                  </w:r>
                  <w:proofErr w:type="spellEnd"/>
                  <w:r w:rsidRPr="00724259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Latvija”</w:t>
                  </w:r>
                </w:p>
              </w:tc>
            </w:tr>
            <w:tr w:rsidR="00E377FE" w:rsidRPr="008E7AAB" w:rsidTr="0005726C">
              <w:trPr>
                <w:trHeight w:val="388"/>
              </w:trPr>
              <w:tc>
                <w:tcPr>
                  <w:tcW w:w="709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8E7AAB">
                    <w:rPr>
                      <w:rFonts w:cs="Times New Roman"/>
                      <w:b/>
                      <w:sz w:val="20"/>
                      <w:szCs w:val="20"/>
                    </w:rPr>
                    <w:t>39.</w:t>
                  </w:r>
                </w:p>
              </w:tc>
              <w:tc>
                <w:tcPr>
                  <w:tcW w:w="4565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9"/>
                      <w:szCs w:val="19"/>
                    </w:rPr>
                  </w:pPr>
                  <w:r w:rsidRPr="008E7AAB">
                    <w:rPr>
                      <w:rFonts w:cs="Times New Roman"/>
                      <w:sz w:val="19"/>
                      <w:szCs w:val="19"/>
                    </w:rPr>
                    <w:t>PE (polietilēna) filtri</w:t>
                  </w:r>
                </w:p>
              </w:tc>
              <w:tc>
                <w:tcPr>
                  <w:tcW w:w="992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24.10</w:t>
                  </w:r>
                </w:p>
              </w:tc>
              <w:tc>
                <w:tcPr>
                  <w:tcW w:w="2836" w:type="dxa"/>
                  <w:vAlign w:val="center"/>
                </w:tcPr>
                <w:p w:rsidR="00E377FE" w:rsidRPr="00724259" w:rsidRDefault="00E377FE" w:rsidP="0005726C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724259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SIA “</w:t>
                  </w:r>
                  <w:proofErr w:type="spellStart"/>
                  <w:r w:rsidRPr="00724259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Mediq</w:t>
                  </w:r>
                  <w:proofErr w:type="spellEnd"/>
                  <w:r w:rsidRPr="00724259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Latvija”</w:t>
                  </w:r>
                </w:p>
              </w:tc>
            </w:tr>
            <w:tr w:rsidR="00E377FE" w:rsidRPr="00043B3B" w:rsidTr="0005726C">
              <w:trPr>
                <w:trHeight w:val="352"/>
              </w:trPr>
              <w:tc>
                <w:tcPr>
                  <w:tcW w:w="709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8E7AAB">
                    <w:rPr>
                      <w:rFonts w:cs="Times New Roman"/>
                      <w:b/>
                      <w:sz w:val="20"/>
                      <w:szCs w:val="20"/>
                    </w:rPr>
                    <w:t>40.</w:t>
                  </w:r>
                </w:p>
              </w:tc>
              <w:tc>
                <w:tcPr>
                  <w:tcW w:w="4565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9"/>
                      <w:szCs w:val="19"/>
                    </w:rPr>
                  </w:pPr>
                  <w:r w:rsidRPr="008E7AAB">
                    <w:rPr>
                      <w:rFonts w:cs="Times New Roman"/>
                      <w:sz w:val="19"/>
                      <w:szCs w:val="19"/>
                    </w:rPr>
                    <w:t>PE (polietilēna) filtri</w:t>
                  </w:r>
                </w:p>
              </w:tc>
              <w:tc>
                <w:tcPr>
                  <w:tcW w:w="992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24.10</w:t>
                  </w:r>
                </w:p>
              </w:tc>
              <w:tc>
                <w:tcPr>
                  <w:tcW w:w="2836" w:type="dxa"/>
                  <w:vAlign w:val="center"/>
                </w:tcPr>
                <w:p w:rsidR="00E377FE" w:rsidRPr="00724259" w:rsidRDefault="00E377FE" w:rsidP="0005726C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724259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SIA “</w:t>
                  </w:r>
                  <w:proofErr w:type="spellStart"/>
                  <w:r w:rsidRPr="00724259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Mediq</w:t>
                  </w:r>
                  <w:proofErr w:type="spellEnd"/>
                  <w:r w:rsidRPr="00724259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Latvija”</w:t>
                  </w:r>
                </w:p>
              </w:tc>
            </w:tr>
            <w:tr w:rsidR="00E377FE" w:rsidRPr="008E7AAB" w:rsidTr="0005726C">
              <w:trPr>
                <w:trHeight w:val="271"/>
              </w:trPr>
              <w:tc>
                <w:tcPr>
                  <w:tcW w:w="709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8E7AAB">
                    <w:rPr>
                      <w:rFonts w:cs="Times New Roman"/>
                      <w:b/>
                      <w:sz w:val="20"/>
                      <w:szCs w:val="20"/>
                    </w:rPr>
                    <w:t>41.</w:t>
                  </w:r>
                </w:p>
              </w:tc>
              <w:tc>
                <w:tcPr>
                  <w:tcW w:w="4565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9"/>
                      <w:szCs w:val="19"/>
                    </w:rPr>
                  </w:pPr>
                  <w:proofErr w:type="spellStart"/>
                  <w:r w:rsidRPr="008E7AAB">
                    <w:rPr>
                      <w:rFonts w:cs="Times New Roman"/>
                      <w:sz w:val="19"/>
                      <w:szCs w:val="19"/>
                    </w:rPr>
                    <w:t>Pelviometrs</w:t>
                  </w:r>
                  <w:proofErr w:type="spellEnd"/>
                </w:p>
              </w:tc>
              <w:tc>
                <w:tcPr>
                  <w:tcW w:w="992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8"/>
                      <w:szCs w:val="18"/>
                      <w:lang w:val="en-GB"/>
                    </w:rPr>
                  </w:pPr>
                  <w:r w:rsidRPr="008E7AAB">
                    <w:rPr>
                      <w:rFonts w:cs="Times New Roman"/>
                      <w:sz w:val="18"/>
                      <w:szCs w:val="18"/>
                    </w:rPr>
                    <w:t>291.2</w:t>
                  </w:r>
                </w:p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6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8E7AAB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SIA “</w:t>
                  </w:r>
                  <w:proofErr w:type="spellStart"/>
                  <w:r w:rsidRPr="008E7AAB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Medeksperts</w:t>
                  </w:r>
                  <w:proofErr w:type="spellEnd"/>
                  <w:r w:rsidRPr="008E7AAB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”</w:t>
                  </w:r>
                </w:p>
              </w:tc>
            </w:tr>
            <w:tr w:rsidR="00E377FE" w:rsidRPr="008E7AAB" w:rsidTr="0005726C">
              <w:tc>
                <w:tcPr>
                  <w:tcW w:w="709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8E7AAB">
                    <w:rPr>
                      <w:rFonts w:cs="Times New Roman"/>
                      <w:b/>
                      <w:sz w:val="20"/>
                      <w:szCs w:val="20"/>
                    </w:rPr>
                    <w:t>42.</w:t>
                  </w:r>
                </w:p>
              </w:tc>
              <w:tc>
                <w:tcPr>
                  <w:tcW w:w="4565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9"/>
                      <w:szCs w:val="19"/>
                    </w:rPr>
                  </w:pPr>
                  <w:r w:rsidRPr="008E7AAB">
                    <w:rPr>
                      <w:rFonts w:cs="Times New Roman"/>
                      <w:sz w:val="19"/>
                      <w:szCs w:val="19"/>
                    </w:rPr>
                    <w:t>Pincete</w:t>
                  </w:r>
                </w:p>
              </w:tc>
              <w:tc>
                <w:tcPr>
                  <w:tcW w:w="992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8E7AAB">
                    <w:rPr>
                      <w:rFonts w:cs="Times New Roman"/>
                      <w:sz w:val="18"/>
                      <w:szCs w:val="18"/>
                    </w:rPr>
                    <w:t>4,90</w:t>
                  </w:r>
                </w:p>
              </w:tc>
              <w:tc>
                <w:tcPr>
                  <w:tcW w:w="2836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8E7AAB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SIA “</w:t>
                  </w:r>
                  <w:r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OMNILAB</w:t>
                  </w:r>
                  <w:r w:rsidRPr="008E7AAB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E7AAB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baltic</w:t>
                  </w:r>
                  <w:proofErr w:type="spellEnd"/>
                  <w:r w:rsidRPr="008E7AAB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”</w:t>
                  </w:r>
                </w:p>
              </w:tc>
            </w:tr>
            <w:tr w:rsidR="00E377FE" w:rsidRPr="008E7AAB" w:rsidTr="0005726C">
              <w:tc>
                <w:tcPr>
                  <w:tcW w:w="709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8E7AAB">
                    <w:rPr>
                      <w:rFonts w:cs="Times New Roman"/>
                      <w:b/>
                      <w:sz w:val="20"/>
                      <w:szCs w:val="20"/>
                    </w:rPr>
                    <w:t>43.</w:t>
                  </w:r>
                </w:p>
              </w:tc>
              <w:tc>
                <w:tcPr>
                  <w:tcW w:w="4565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9"/>
                      <w:szCs w:val="19"/>
                    </w:rPr>
                  </w:pPr>
                  <w:r w:rsidRPr="008E7AAB">
                    <w:rPr>
                      <w:rFonts w:cs="Times New Roman"/>
                      <w:sz w:val="19"/>
                      <w:szCs w:val="19"/>
                    </w:rPr>
                    <w:t>Pincete</w:t>
                  </w:r>
                </w:p>
              </w:tc>
              <w:tc>
                <w:tcPr>
                  <w:tcW w:w="992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8E7AAB">
                    <w:rPr>
                      <w:rFonts w:cs="Times New Roman"/>
                      <w:sz w:val="18"/>
                      <w:szCs w:val="18"/>
                    </w:rPr>
                    <w:t>4,86</w:t>
                  </w:r>
                </w:p>
              </w:tc>
              <w:tc>
                <w:tcPr>
                  <w:tcW w:w="2836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8E7AAB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SIA “</w:t>
                  </w:r>
                  <w:r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OMNILAB</w:t>
                  </w:r>
                  <w:r w:rsidRPr="008E7AAB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E7AAB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baltic</w:t>
                  </w:r>
                  <w:proofErr w:type="spellEnd"/>
                  <w:r w:rsidRPr="008E7AAB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”</w:t>
                  </w:r>
                </w:p>
              </w:tc>
            </w:tr>
            <w:tr w:rsidR="00E377FE" w:rsidRPr="008E7AAB" w:rsidTr="0005726C">
              <w:tc>
                <w:tcPr>
                  <w:tcW w:w="709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8E7AAB">
                    <w:rPr>
                      <w:rFonts w:cs="Times New Roman"/>
                      <w:b/>
                      <w:sz w:val="20"/>
                      <w:szCs w:val="20"/>
                    </w:rPr>
                    <w:t>48.</w:t>
                  </w:r>
                </w:p>
              </w:tc>
              <w:tc>
                <w:tcPr>
                  <w:tcW w:w="4565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9"/>
                      <w:szCs w:val="19"/>
                    </w:rPr>
                  </w:pPr>
                  <w:r w:rsidRPr="008E7AAB">
                    <w:rPr>
                      <w:rFonts w:cs="Times New Roman"/>
                      <w:sz w:val="19"/>
                      <w:szCs w:val="19"/>
                    </w:rPr>
                    <w:t>Siekalu paraugu savākšanas stobriņi</w:t>
                  </w:r>
                </w:p>
              </w:tc>
              <w:tc>
                <w:tcPr>
                  <w:tcW w:w="992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8"/>
                      <w:szCs w:val="18"/>
                      <w:lang w:val="en-GB"/>
                    </w:rPr>
                  </w:pPr>
                  <w:r w:rsidRPr="008E7AAB">
                    <w:rPr>
                      <w:rFonts w:cs="Times New Roman"/>
                      <w:sz w:val="18"/>
                      <w:szCs w:val="18"/>
                    </w:rPr>
                    <w:t>64</w:t>
                  </w:r>
                  <w:r>
                    <w:rPr>
                      <w:rFonts w:cs="Times New Roman"/>
                      <w:sz w:val="18"/>
                      <w:szCs w:val="18"/>
                    </w:rPr>
                    <w:t>.00</w:t>
                  </w:r>
                </w:p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6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8E7AAB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SIA “</w:t>
                  </w:r>
                  <w:r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SARSTEDT</w:t>
                  </w:r>
                  <w:r w:rsidRPr="008E7AAB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”</w:t>
                  </w:r>
                </w:p>
              </w:tc>
            </w:tr>
            <w:tr w:rsidR="00E377FE" w:rsidRPr="008E7AAB" w:rsidTr="0005726C">
              <w:tc>
                <w:tcPr>
                  <w:tcW w:w="709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8E7AAB">
                    <w:rPr>
                      <w:rFonts w:cs="Times New Roman"/>
                      <w:b/>
                      <w:sz w:val="20"/>
                      <w:szCs w:val="20"/>
                    </w:rPr>
                    <w:t>49.</w:t>
                  </w:r>
                </w:p>
              </w:tc>
              <w:tc>
                <w:tcPr>
                  <w:tcW w:w="4565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9"/>
                      <w:szCs w:val="19"/>
                    </w:rPr>
                  </w:pPr>
                  <w:r w:rsidRPr="008E7AAB">
                    <w:rPr>
                      <w:rFonts w:cs="Times New Roman"/>
                      <w:sz w:val="19"/>
                      <w:szCs w:val="19"/>
                    </w:rPr>
                    <w:t>Sterili katetri elpceļu sekrēta paņemšanai</w:t>
                  </w:r>
                </w:p>
              </w:tc>
              <w:tc>
                <w:tcPr>
                  <w:tcW w:w="992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8"/>
                      <w:szCs w:val="18"/>
                      <w:lang w:val="en-GB"/>
                    </w:rPr>
                  </w:pPr>
                  <w:r w:rsidRPr="008E7AAB">
                    <w:rPr>
                      <w:rFonts w:cs="Times New Roman"/>
                      <w:sz w:val="18"/>
                      <w:szCs w:val="18"/>
                    </w:rPr>
                    <w:t>0.30</w:t>
                  </w:r>
                </w:p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6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8E7AAB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SIA “B.Braun Medical”</w:t>
                  </w:r>
                </w:p>
              </w:tc>
            </w:tr>
            <w:tr w:rsidR="00E377FE" w:rsidRPr="008E7AAB" w:rsidTr="0005726C">
              <w:tc>
                <w:tcPr>
                  <w:tcW w:w="709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8E7AAB">
                    <w:rPr>
                      <w:rFonts w:cs="Times New Roman"/>
                      <w:b/>
                      <w:sz w:val="20"/>
                      <w:szCs w:val="20"/>
                    </w:rPr>
                    <w:t>51.</w:t>
                  </w:r>
                </w:p>
              </w:tc>
              <w:tc>
                <w:tcPr>
                  <w:tcW w:w="4565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9"/>
                      <w:szCs w:val="19"/>
                    </w:rPr>
                  </w:pPr>
                  <w:r w:rsidRPr="008E7AAB">
                    <w:rPr>
                      <w:rFonts w:cs="Times New Roman"/>
                      <w:sz w:val="19"/>
                      <w:szCs w:val="19"/>
                    </w:rPr>
                    <w:t>Trahejas sekrēta savākšanas sistēma</w:t>
                  </w:r>
                </w:p>
              </w:tc>
              <w:tc>
                <w:tcPr>
                  <w:tcW w:w="992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8"/>
                      <w:szCs w:val="18"/>
                      <w:lang w:val="en-GB"/>
                    </w:rPr>
                  </w:pPr>
                  <w:r w:rsidRPr="008E7AAB">
                    <w:rPr>
                      <w:rFonts w:cs="Times New Roman"/>
                      <w:sz w:val="18"/>
                      <w:szCs w:val="18"/>
                    </w:rPr>
                    <w:t>0.91</w:t>
                  </w:r>
                </w:p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6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8E7AAB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SIA “</w:t>
                  </w:r>
                  <w:proofErr w:type="spellStart"/>
                  <w:r w:rsidRPr="008E7AAB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Medeksperts</w:t>
                  </w:r>
                  <w:proofErr w:type="spellEnd"/>
                  <w:r w:rsidRPr="008E7AAB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”</w:t>
                  </w:r>
                </w:p>
              </w:tc>
            </w:tr>
            <w:tr w:rsidR="00E377FE" w:rsidRPr="008E7AAB" w:rsidTr="0005726C">
              <w:trPr>
                <w:trHeight w:val="278"/>
              </w:trPr>
              <w:tc>
                <w:tcPr>
                  <w:tcW w:w="709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8E7AAB">
                    <w:rPr>
                      <w:rFonts w:cs="Times New Roman"/>
                      <w:b/>
                      <w:sz w:val="20"/>
                      <w:szCs w:val="20"/>
                    </w:rPr>
                    <w:t>52.</w:t>
                  </w:r>
                </w:p>
              </w:tc>
              <w:tc>
                <w:tcPr>
                  <w:tcW w:w="4565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9"/>
                      <w:szCs w:val="19"/>
                    </w:rPr>
                  </w:pPr>
                  <w:proofErr w:type="spellStart"/>
                  <w:r w:rsidRPr="008E7AAB">
                    <w:rPr>
                      <w:rFonts w:cs="Times New Roman"/>
                      <w:sz w:val="19"/>
                      <w:szCs w:val="19"/>
                    </w:rPr>
                    <w:t>Tris-EDTA</w:t>
                  </w:r>
                  <w:proofErr w:type="spellEnd"/>
                  <w:r w:rsidRPr="008E7AAB">
                    <w:rPr>
                      <w:rFonts w:cs="Times New Roman"/>
                      <w:sz w:val="19"/>
                      <w:szCs w:val="19"/>
                    </w:rPr>
                    <w:t xml:space="preserve"> buferu šķīdums</w:t>
                  </w:r>
                </w:p>
              </w:tc>
              <w:tc>
                <w:tcPr>
                  <w:tcW w:w="992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8E7AAB">
                    <w:rPr>
                      <w:rFonts w:cs="Times New Roman"/>
                      <w:sz w:val="18"/>
                      <w:szCs w:val="18"/>
                    </w:rPr>
                    <w:t>32.38</w:t>
                  </w:r>
                </w:p>
              </w:tc>
              <w:tc>
                <w:tcPr>
                  <w:tcW w:w="2836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8E7AAB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SIA “</w:t>
                  </w:r>
                  <w:proofErr w:type="spellStart"/>
                  <w:r w:rsidRPr="008E7AAB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Labochema</w:t>
                  </w:r>
                  <w:proofErr w:type="spellEnd"/>
                  <w:r w:rsidRPr="008E7AAB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Latvija”</w:t>
                  </w:r>
                </w:p>
              </w:tc>
            </w:tr>
            <w:tr w:rsidR="00E377FE" w:rsidRPr="008E7AAB" w:rsidTr="0005726C">
              <w:trPr>
                <w:trHeight w:val="228"/>
              </w:trPr>
              <w:tc>
                <w:tcPr>
                  <w:tcW w:w="709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8E7AAB">
                    <w:rPr>
                      <w:rFonts w:cs="Times New Roman"/>
                      <w:b/>
                      <w:sz w:val="20"/>
                      <w:szCs w:val="20"/>
                    </w:rPr>
                    <w:t>53.</w:t>
                  </w:r>
                </w:p>
              </w:tc>
              <w:tc>
                <w:tcPr>
                  <w:tcW w:w="4565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9"/>
                      <w:szCs w:val="19"/>
                    </w:rPr>
                  </w:pPr>
                  <w:r w:rsidRPr="008E7AAB">
                    <w:rPr>
                      <w:rFonts w:cs="Times New Roman"/>
                      <w:sz w:val="19"/>
                      <w:szCs w:val="19"/>
                    </w:rPr>
                    <w:t>Želatīna kapsulas</w:t>
                  </w:r>
                </w:p>
              </w:tc>
              <w:tc>
                <w:tcPr>
                  <w:tcW w:w="992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8E7AAB">
                    <w:rPr>
                      <w:rFonts w:cs="Times New Roman"/>
                      <w:sz w:val="18"/>
                      <w:szCs w:val="18"/>
                    </w:rPr>
                    <w:t>115.36</w:t>
                  </w:r>
                </w:p>
              </w:tc>
              <w:tc>
                <w:tcPr>
                  <w:tcW w:w="2836" w:type="dxa"/>
                  <w:vAlign w:val="center"/>
                </w:tcPr>
                <w:p w:rsidR="00E377FE" w:rsidRPr="008E7AAB" w:rsidRDefault="00E377FE" w:rsidP="0005726C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8E7AAB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SIA “</w:t>
                  </w:r>
                  <w:proofErr w:type="spellStart"/>
                  <w:r w:rsidRPr="008E7AAB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Labochema</w:t>
                  </w:r>
                  <w:proofErr w:type="spellEnd"/>
                  <w:r w:rsidRPr="008E7AAB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Latvija”</w:t>
                  </w:r>
                </w:p>
              </w:tc>
            </w:tr>
          </w:tbl>
          <w:p w:rsidR="006A12EA" w:rsidRDefault="006A12EA" w:rsidP="0071716F">
            <w:pPr>
              <w:ind w:left="284"/>
              <w:contextualSpacing/>
              <w:jc w:val="both"/>
              <w:rPr>
                <w:rFonts w:eastAsiaTheme="minorHAnsi"/>
                <w:b/>
              </w:rPr>
            </w:pPr>
          </w:p>
          <w:p w:rsidR="00E377FE" w:rsidRDefault="00E377FE" w:rsidP="0071716F">
            <w:pPr>
              <w:ind w:left="284"/>
              <w:contextualSpacing/>
              <w:jc w:val="both"/>
            </w:pPr>
            <w:r w:rsidRPr="00FF2233">
              <w:t xml:space="preserve">Vispārīgā vienošanās tiks slēgta uz 36 (trīsdesmit sešiem) mēnešiem vai līdz kopējā pasūtījumu summa vispārīgās vienošanās ietvaros sasniegs </w:t>
            </w:r>
            <w:r w:rsidRPr="00BB24A2">
              <w:t xml:space="preserve">60 000,00 EUR (sešdesmit tūkstoši </w:t>
            </w:r>
            <w:proofErr w:type="spellStart"/>
            <w:r w:rsidRPr="00BB24A2">
              <w:t>euro</w:t>
            </w:r>
            <w:proofErr w:type="spellEnd"/>
            <w:r w:rsidRPr="00BB24A2">
              <w:t>, 00 centi) bez PVN, atkarībā no tā, kurš nosacījums iestāsies pirmais</w:t>
            </w:r>
            <w:r>
              <w:t>.</w:t>
            </w:r>
          </w:p>
          <w:p w:rsidR="00C162A1" w:rsidRPr="005F207C" w:rsidRDefault="00C162A1" w:rsidP="00E377FE">
            <w:pPr>
              <w:contextualSpacing/>
              <w:jc w:val="both"/>
            </w:pPr>
          </w:p>
        </w:tc>
      </w:tr>
      <w:tr w:rsidR="0009682C" w:rsidRPr="005F207C" w:rsidTr="00F3762C">
        <w:trPr>
          <w:trHeight w:val="989"/>
        </w:trPr>
        <w:tc>
          <w:tcPr>
            <w:tcW w:w="2549" w:type="dxa"/>
          </w:tcPr>
          <w:p w:rsidR="0009682C" w:rsidRPr="005F207C" w:rsidRDefault="0009682C" w:rsidP="007A5D60">
            <w:pPr>
              <w:jc w:val="both"/>
            </w:pPr>
            <w:r w:rsidRPr="00184D56">
              <w:t>Piedāvājuma izvēles pamatojums</w:t>
            </w:r>
          </w:p>
        </w:tc>
        <w:tc>
          <w:tcPr>
            <w:tcW w:w="7883" w:type="dxa"/>
          </w:tcPr>
          <w:p w:rsidR="0009682C" w:rsidRPr="009738C4" w:rsidRDefault="00E377FE" w:rsidP="00142B49">
            <w:pPr>
              <w:jc w:val="both"/>
            </w:pPr>
            <w:r w:rsidRPr="009E7EB1">
              <w:t>Piedāvājuma izvēles kritērijs ir piedāvājums ar viszemāko cenu EUR bez PVN par vienu vienību</w:t>
            </w:r>
            <w:r w:rsidR="004109B1">
              <w:t>.</w:t>
            </w:r>
          </w:p>
        </w:tc>
      </w:tr>
      <w:tr w:rsidR="007A5D60" w:rsidRPr="005F207C" w:rsidTr="00F3762C">
        <w:trPr>
          <w:trHeight w:val="3101"/>
        </w:trPr>
        <w:tc>
          <w:tcPr>
            <w:tcW w:w="2549" w:type="dxa"/>
          </w:tcPr>
          <w:p w:rsidR="007A5D60" w:rsidRPr="005F207C" w:rsidRDefault="00F95323" w:rsidP="007A5D60">
            <w:pPr>
              <w:jc w:val="both"/>
            </w:pPr>
            <w:r w:rsidRPr="005F207C">
              <w:t>Informācija (ja tā ir zināma) par to iepirkuma līguma vai vispārīgās vienošanās daļu, kuru izraudzītais pretendents plānojis nodot apakšuzņēmējiem, kā arī apakšuzņēmēju nosaukumi</w:t>
            </w:r>
          </w:p>
        </w:tc>
        <w:tc>
          <w:tcPr>
            <w:tcW w:w="7883" w:type="dxa"/>
          </w:tcPr>
          <w:p w:rsidR="007A5D60" w:rsidRPr="005F207C" w:rsidRDefault="004F40F8" w:rsidP="007A5D60">
            <w:pPr>
              <w:jc w:val="both"/>
            </w:pPr>
            <w:r>
              <w:t>NAV</w:t>
            </w:r>
          </w:p>
        </w:tc>
      </w:tr>
      <w:tr w:rsidR="00E377FE" w:rsidRPr="005F207C" w:rsidTr="00E377FE">
        <w:trPr>
          <w:trHeight w:val="848"/>
        </w:trPr>
        <w:tc>
          <w:tcPr>
            <w:tcW w:w="10432" w:type="dxa"/>
            <w:gridSpan w:val="2"/>
          </w:tcPr>
          <w:p w:rsidR="00E377FE" w:rsidRPr="008911E9" w:rsidRDefault="00E377FE" w:rsidP="00E377FE">
            <w:pPr>
              <w:jc w:val="both"/>
            </w:pPr>
            <w:r w:rsidRPr="008911E9">
              <w:t>Pamatojums lēmumam par katru noraidīto pretendentu, kā arī par katru iepirkuma procedūras dokumentiem neatbilstošu piedāvājumu</w:t>
            </w:r>
            <w:r w:rsidR="004109B1" w:rsidRPr="008911E9">
              <w:t>:</w:t>
            </w:r>
          </w:p>
        </w:tc>
      </w:tr>
      <w:tr w:rsidR="00E377FE" w:rsidRPr="005F207C" w:rsidTr="00253145">
        <w:trPr>
          <w:trHeight w:val="8202"/>
        </w:trPr>
        <w:tc>
          <w:tcPr>
            <w:tcW w:w="10432" w:type="dxa"/>
            <w:gridSpan w:val="2"/>
          </w:tcPr>
          <w:p w:rsidR="00E377FE" w:rsidRPr="008911E9" w:rsidRDefault="00E377FE" w:rsidP="00E377FE">
            <w:pPr>
              <w:jc w:val="both"/>
            </w:pPr>
            <w:r w:rsidRPr="008911E9">
              <w:t>SIA “</w:t>
            </w:r>
            <w:proofErr w:type="spellStart"/>
            <w:r w:rsidRPr="008911E9">
              <w:t>Medeksperts</w:t>
            </w:r>
            <w:proofErr w:type="spellEnd"/>
            <w:r w:rsidRPr="008911E9">
              <w:t>” piedāvājuma 18.pozīcija:</w:t>
            </w:r>
          </w:p>
          <w:tbl>
            <w:tblPr>
              <w:tblStyle w:val="TableGrid"/>
              <w:tblW w:w="9646" w:type="dxa"/>
              <w:tblInd w:w="81" w:type="dxa"/>
              <w:tblLook w:val="04A0" w:firstRow="1" w:lastRow="0" w:firstColumn="1" w:lastColumn="0" w:noHBand="0" w:noVBand="1"/>
            </w:tblPr>
            <w:tblGrid>
              <w:gridCol w:w="459"/>
              <w:gridCol w:w="623"/>
              <w:gridCol w:w="4678"/>
              <w:gridCol w:w="3886"/>
            </w:tblGrid>
            <w:tr w:rsidR="00253145" w:rsidRPr="00062AD4" w:rsidTr="00253145">
              <w:trPr>
                <w:cantSplit/>
                <w:trHeight w:val="1274"/>
              </w:trPr>
              <w:tc>
                <w:tcPr>
                  <w:tcW w:w="459" w:type="dxa"/>
                  <w:textDirection w:val="btLr"/>
                  <w:vAlign w:val="center"/>
                </w:tcPr>
                <w:p w:rsidR="00253145" w:rsidRPr="00062AD4" w:rsidRDefault="00253145" w:rsidP="0005726C">
                  <w:pPr>
                    <w:pStyle w:val="ListParagraph"/>
                    <w:ind w:left="113" w:right="43"/>
                    <w:jc w:val="center"/>
                    <w:rPr>
                      <w:rFonts w:ascii="Times New Roman" w:eastAsiaTheme="minorEastAsia" w:hAnsi="Times New Roman"/>
                      <w:b/>
                      <w:sz w:val="18"/>
                      <w:szCs w:val="18"/>
                      <w:lang w:eastAsia="lv-LV"/>
                    </w:rPr>
                  </w:pPr>
                  <w:r w:rsidRPr="00062AD4">
                    <w:rPr>
                      <w:rFonts w:ascii="Times New Roman" w:eastAsiaTheme="minorEastAsia" w:hAnsi="Times New Roman"/>
                      <w:b/>
                      <w:sz w:val="18"/>
                      <w:szCs w:val="18"/>
                      <w:lang w:eastAsia="lv-LV"/>
                    </w:rPr>
                    <w:t>Pozīcijas Nr.</w:t>
                  </w:r>
                </w:p>
              </w:tc>
              <w:tc>
                <w:tcPr>
                  <w:tcW w:w="623" w:type="dxa"/>
                  <w:textDirection w:val="btLr"/>
                  <w:vAlign w:val="center"/>
                </w:tcPr>
                <w:p w:rsidR="00253145" w:rsidRPr="00062AD4" w:rsidRDefault="00253145" w:rsidP="0005726C">
                  <w:pPr>
                    <w:pStyle w:val="ListParagraph"/>
                    <w:ind w:left="113" w:right="43"/>
                    <w:jc w:val="center"/>
                    <w:rPr>
                      <w:rFonts w:ascii="Times New Roman" w:eastAsiaTheme="minorEastAsia" w:hAnsi="Times New Roman"/>
                      <w:b/>
                      <w:sz w:val="18"/>
                      <w:szCs w:val="18"/>
                      <w:lang w:eastAsia="lv-LV"/>
                    </w:rPr>
                  </w:pPr>
                  <w:r w:rsidRPr="00062AD4">
                    <w:rPr>
                      <w:rFonts w:ascii="Times New Roman" w:eastAsiaTheme="minorEastAsia" w:hAnsi="Times New Roman"/>
                      <w:b/>
                      <w:sz w:val="18"/>
                      <w:szCs w:val="18"/>
                      <w:lang w:eastAsia="lv-LV"/>
                    </w:rPr>
                    <w:t>Nosaukums</w:t>
                  </w:r>
                </w:p>
              </w:tc>
              <w:tc>
                <w:tcPr>
                  <w:tcW w:w="4678" w:type="dxa"/>
                  <w:vAlign w:val="center"/>
                </w:tcPr>
                <w:p w:rsidR="00253145" w:rsidRPr="00062AD4" w:rsidRDefault="00253145" w:rsidP="0005726C">
                  <w:pPr>
                    <w:pStyle w:val="ListParagraph"/>
                    <w:ind w:left="0" w:right="43"/>
                    <w:jc w:val="center"/>
                    <w:rPr>
                      <w:rFonts w:ascii="Times New Roman" w:eastAsiaTheme="minorEastAsia" w:hAnsi="Times New Roman"/>
                      <w:b/>
                      <w:sz w:val="18"/>
                      <w:szCs w:val="18"/>
                      <w:lang w:eastAsia="lv-LV"/>
                    </w:rPr>
                  </w:pPr>
                  <w:r w:rsidRPr="00062AD4">
                    <w:rPr>
                      <w:rFonts w:ascii="Times New Roman" w:eastAsiaTheme="minorEastAsia" w:hAnsi="Times New Roman"/>
                      <w:b/>
                      <w:sz w:val="18"/>
                      <w:szCs w:val="18"/>
                      <w:lang w:eastAsia="lv-LV"/>
                    </w:rPr>
                    <w:t>Minimālās tehniskās specifikācijas</w:t>
                  </w:r>
                </w:p>
              </w:tc>
              <w:tc>
                <w:tcPr>
                  <w:tcW w:w="3886" w:type="dxa"/>
                  <w:vAlign w:val="center"/>
                </w:tcPr>
                <w:p w:rsidR="00253145" w:rsidRPr="00062AD4" w:rsidRDefault="00253145" w:rsidP="0005726C">
                  <w:pPr>
                    <w:pStyle w:val="ListParagraph"/>
                    <w:ind w:left="0" w:right="43"/>
                    <w:jc w:val="center"/>
                    <w:rPr>
                      <w:rFonts w:ascii="Times New Roman" w:eastAsiaTheme="minorEastAsia" w:hAnsi="Times New Roman"/>
                      <w:b/>
                      <w:sz w:val="18"/>
                      <w:szCs w:val="18"/>
                      <w:lang w:eastAsia="lv-LV"/>
                    </w:rPr>
                  </w:pPr>
                  <w:r>
                    <w:rPr>
                      <w:rFonts w:ascii="Times New Roman" w:eastAsiaTheme="minorEastAsia" w:hAnsi="Times New Roman"/>
                      <w:b/>
                      <w:sz w:val="18"/>
                      <w:szCs w:val="18"/>
                      <w:lang w:eastAsia="lv-LV"/>
                    </w:rPr>
                    <w:t>Neatbilstība</w:t>
                  </w:r>
                </w:p>
              </w:tc>
            </w:tr>
            <w:tr w:rsidR="00253145" w:rsidRPr="00062AD4" w:rsidTr="008911E9">
              <w:trPr>
                <w:cantSplit/>
                <w:trHeight w:val="1831"/>
              </w:trPr>
              <w:tc>
                <w:tcPr>
                  <w:tcW w:w="459" w:type="dxa"/>
                  <w:vAlign w:val="center"/>
                </w:tcPr>
                <w:p w:rsidR="00253145" w:rsidRPr="00DD16B4" w:rsidRDefault="00253145" w:rsidP="0005726C">
                  <w:pPr>
                    <w:pStyle w:val="ListParagraph"/>
                    <w:ind w:left="0" w:right="43"/>
                    <w:jc w:val="center"/>
                    <w:rPr>
                      <w:rFonts w:ascii="Times New Roman" w:eastAsiaTheme="minorEastAsia" w:hAnsi="Times New Roman"/>
                      <w:sz w:val="16"/>
                      <w:szCs w:val="16"/>
                      <w:lang w:eastAsia="lv-LV"/>
                    </w:rPr>
                  </w:pPr>
                  <w:r w:rsidRPr="00DD16B4">
                    <w:rPr>
                      <w:rFonts w:ascii="Times New Roman" w:eastAsiaTheme="minorEastAsia" w:hAnsi="Times New Roman"/>
                      <w:sz w:val="16"/>
                      <w:szCs w:val="16"/>
                      <w:lang w:eastAsia="lv-LV"/>
                    </w:rPr>
                    <w:t>18.</w:t>
                  </w:r>
                </w:p>
              </w:tc>
              <w:tc>
                <w:tcPr>
                  <w:tcW w:w="623" w:type="dxa"/>
                  <w:textDirection w:val="btLr"/>
                  <w:vAlign w:val="center"/>
                </w:tcPr>
                <w:p w:rsidR="00253145" w:rsidRPr="00DD16B4" w:rsidRDefault="00253145" w:rsidP="0005726C">
                  <w:pPr>
                    <w:ind w:left="113" w:right="11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D16B4">
                    <w:rPr>
                      <w:color w:val="000000"/>
                      <w:sz w:val="16"/>
                      <w:szCs w:val="16"/>
                    </w:rPr>
                    <w:t>Ginekoloģiskie spoguļi</w:t>
                  </w:r>
                </w:p>
              </w:tc>
              <w:tc>
                <w:tcPr>
                  <w:tcW w:w="4678" w:type="dxa"/>
                  <w:vAlign w:val="center"/>
                </w:tcPr>
                <w:p w:rsidR="00253145" w:rsidRPr="00DD16B4" w:rsidRDefault="00253145" w:rsidP="0005726C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DD16B4">
                    <w:rPr>
                      <w:sz w:val="16"/>
                      <w:szCs w:val="16"/>
                    </w:rPr>
                    <w:t>Polisterēna</w:t>
                  </w:r>
                  <w:proofErr w:type="spellEnd"/>
                  <w:r w:rsidRPr="00DD16B4">
                    <w:rPr>
                      <w:sz w:val="16"/>
                      <w:szCs w:val="16"/>
                    </w:rPr>
                    <w:t xml:space="preserve"> ginekoloģiskie spoguļi ar skrūvējamu mehānismu, katrs spogulis ir sterili iepakots atsevišķā iepakojumā. Izmērs: M.Tehniskā specifikācija atbilstoši </w:t>
                  </w:r>
                  <w:proofErr w:type="spellStart"/>
                  <w:r w:rsidRPr="00DD16B4">
                    <w:rPr>
                      <w:sz w:val="16"/>
                      <w:szCs w:val="16"/>
                    </w:rPr>
                    <w:t>MyCare</w:t>
                  </w:r>
                  <w:proofErr w:type="spellEnd"/>
                  <w:r w:rsidRPr="00DD16B4">
                    <w:rPr>
                      <w:sz w:val="16"/>
                      <w:szCs w:val="16"/>
                    </w:rPr>
                    <w:t xml:space="preserve"> katalogā norādītajam aprakstam par produktu ar interneta vietnes adresi: http://www.mycare.com.my/products/Vaginal-Speculum/54, vai ekvivalents produkts. Iepakojumā: 100 gab.</w:t>
                  </w:r>
                </w:p>
                <w:p w:rsidR="00253145" w:rsidRPr="00DD16B4" w:rsidRDefault="00253145" w:rsidP="0005726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86" w:type="dxa"/>
                  <w:vAlign w:val="center"/>
                </w:tcPr>
                <w:p w:rsidR="00253145" w:rsidRPr="00253145" w:rsidRDefault="00253145" w:rsidP="0005726C">
                  <w:pPr>
                    <w:ind w:right="43"/>
                    <w:jc w:val="center"/>
                    <w:rPr>
                      <w:sz w:val="16"/>
                      <w:szCs w:val="16"/>
                      <w:lang w:eastAsia="lv-LV"/>
                    </w:rPr>
                  </w:pPr>
                  <w:r w:rsidRPr="00253145">
                    <w:rPr>
                      <w:sz w:val="16"/>
                      <w:szCs w:val="16"/>
                      <w:lang w:eastAsia="lv-LV"/>
                    </w:rPr>
                    <w:t xml:space="preserve">Neatbilst minimālām tehniskajā prasībām. Prece nav ar skrūvējamu mehānismu. Pretendents iesniegtajā skaidrojumā norādījis, ka attiecīgā prece </w:t>
                  </w:r>
                  <w:r w:rsidRPr="004109B1">
                    <w:rPr>
                      <w:b/>
                      <w:sz w:val="16"/>
                      <w:szCs w:val="16"/>
                      <w:lang w:eastAsia="lv-LV"/>
                    </w:rPr>
                    <w:t>nav</w:t>
                  </w:r>
                  <w:r w:rsidRPr="00253145">
                    <w:rPr>
                      <w:sz w:val="16"/>
                      <w:szCs w:val="16"/>
                      <w:lang w:eastAsia="lv-LV"/>
                    </w:rPr>
                    <w:t xml:space="preserve"> ar skrūvējamu mehānismu.</w:t>
                  </w:r>
                </w:p>
              </w:tc>
            </w:tr>
          </w:tbl>
          <w:p w:rsidR="00E377FE" w:rsidRPr="008911E9" w:rsidRDefault="00253145" w:rsidP="00E377FE">
            <w:pPr>
              <w:jc w:val="both"/>
            </w:pPr>
            <w:r w:rsidRPr="008911E9">
              <w:t>SIA “</w:t>
            </w:r>
            <w:proofErr w:type="spellStart"/>
            <w:r w:rsidRPr="008911E9">
              <w:t>Arbor</w:t>
            </w:r>
            <w:proofErr w:type="spellEnd"/>
            <w:r w:rsidRPr="008911E9">
              <w:t xml:space="preserve"> Medical Korporācija” piedāvājums 19. pozīcija:</w:t>
            </w:r>
          </w:p>
          <w:tbl>
            <w:tblPr>
              <w:tblStyle w:val="TableGrid"/>
              <w:tblW w:w="9664" w:type="dxa"/>
              <w:tblInd w:w="29" w:type="dxa"/>
              <w:tblLook w:val="04A0" w:firstRow="1" w:lastRow="0" w:firstColumn="1" w:lastColumn="0" w:noHBand="0" w:noVBand="1"/>
            </w:tblPr>
            <w:tblGrid>
              <w:gridCol w:w="459"/>
              <w:gridCol w:w="675"/>
              <w:gridCol w:w="4678"/>
              <w:gridCol w:w="3852"/>
            </w:tblGrid>
            <w:tr w:rsidR="00253145" w:rsidRPr="00062AD4" w:rsidTr="00253145">
              <w:trPr>
                <w:cantSplit/>
                <w:trHeight w:val="1262"/>
              </w:trPr>
              <w:tc>
                <w:tcPr>
                  <w:tcW w:w="459" w:type="dxa"/>
                  <w:textDirection w:val="btLr"/>
                  <w:vAlign w:val="center"/>
                </w:tcPr>
                <w:p w:rsidR="00253145" w:rsidRPr="00062AD4" w:rsidRDefault="00253145" w:rsidP="0005726C">
                  <w:pPr>
                    <w:pStyle w:val="ListParagraph"/>
                    <w:ind w:left="113" w:right="43"/>
                    <w:jc w:val="center"/>
                    <w:rPr>
                      <w:rFonts w:ascii="Times New Roman" w:eastAsiaTheme="minorEastAsia" w:hAnsi="Times New Roman"/>
                      <w:b/>
                      <w:sz w:val="18"/>
                      <w:szCs w:val="18"/>
                      <w:lang w:eastAsia="lv-LV"/>
                    </w:rPr>
                  </w:pPr>
                  <w:r w:rsidRPr="00062AD4">
                    <w:rPr>
                      <w:rFonts w:ascii="Times New Roman" w:eastAsiaTheme="minorEastAsia" w:hAnsi="Times New Roman"/>
                      <w:b/>
                      <w:sz w:val="18"/>
                      <w:szCs w:val="18"/>
                      <w:lang w:eastAsia="lv-LV"/>
                    </w:rPr>
                    <w:t>Pozīcijas Nr.</w:t>
                  </w:r>
                </w:p>
              </w:tc>
              <w:tc>
                <w:tcPr>
                  <w:tcW w:w="675" w:type="dxa"/>
                  <w:textDirection w:val="btLr"/>
                  <w:vAlign w:val="center"/>
                </w:tcPr>
                <w:p w:rsidR="00253145" w:rsidRPr="00062AD4" w:rsidRDefault="00253145" w:rsidP="0005726C">
                  <w:pPr>
                    <w:pStyle w:val="ListParagraph"/>
                    <w:ind w:left="113" w:right="43"/>
                    <w:jc w:val="center"/>
                    <w:rPr>
                      <w:rFonts w:ascii="Times New Roman" w:eastAsiaTheme="minorEastAsia" w:hAnsi="Times New Roman"/>
                      <w:b/>
                      <w:sz w:val="18"/>
                      <w:szCs w:val="18"/>
                      <w:lang w:eastAsia="lv-LV"/>
                    </w:rPr>
                  </w:pPr>
                  <w:r w:rsidRPr="00062AD4">
                    <w:rPr>
                      <w:rFonts w:ascii="Times New Roman" w:eastAsiaTheme="minorEastAsia" w:hAnsi="Times New Roman"/>
                      <w:b/>
                      <w:sz w:val="18"/>
                      <w:szCs w:val="18"/>
                      <w:lang w:eastAsia="lv-LV"/>
                    </w:rPr>
                    <w:t>Nosaukums</w:t>
                  </w:r>
                </w:p>
              </w:tc>
              <w:tc>
                <w:tcPr>
                  <w:tcW w:w="4678" w:type="dxa"/>
                  <w:vAlign w:val="center"/>
                </w:tcPr>
                <w:p w:rsidR="00253145" w:rsidRPr="00062AD4" w:rsidRDefault="00253145" w:rsidP="0005726C">
                  <w:pPr>
                    <w:pStyle w:val="ListParagraph"/>
                    <w:ind w:left="0" w:right="43"/>
                    <w:jc w:val="center"/>
                    <w:rPr>
                      <w:rFonts w:ascii="Times New Roman" w:eastAsiaTheme="minorEastAsia" w:hAnsi="Times New Roman"/>
                      <w:b/>
                      <w:sz w:val="18"/>
                      <w:szCs w:val="18"/>
                      <w:lang w:eastAsia="lv-LV"/>
                    </w:rPr>
                  </w:pPr>
                  <w:r w:rsidRPr="00062AD4">
                    <w:rPr>
                      <w:rFonts w:ascii="Times New Roman" w:eastAsiaTheme="minorEastAsia" w:hAnsi="Times New Roman"/>
                      <w:b/>
                      <w:sz w:val="18"/>
                      <w:szCs w:val="18"/>
                      <w:lang w:eastAsia="lv-LV"/>
                    </w:rPr>
                    <w:t>Minimālās tehniskās specifikācijas</w:t>
                  </w:r>
                </w:p>
              </w:tc>
              <w:tc>
                <w:tcPr>
                  <w:tcW w:w="3852" w:type="dxa"/>
                  <w:vAlign w:val="center"/>
                </w:tcPr>
                <w:p w:rsidR="00253145" w:rsidRPr="00062AD4" w:rsidRDefault="00253145" w:rsidP="00253145">
                  <w:pPr>
                    <w:pStyle w:val="ListParagraph"/>
                    <w:ind w:left="0" w:right="43"/>
                    <w:jc w:val="center"/>
                    <w:rPr>
                      <w:rFonts w:ascii="Times New Roman" w:eastAsiaTheme="minorEastAsia" w:hAnsi="Times New Roman"/>
                      <w:b/>
                      <w:sz w:val="18"/>
                      <w:szCs w:val="18"/>
                      <w:lang w:eastAsia="lv-LV"/>
                    </w:rPr>
                  </w:pPr>
                  <w:r>
                    <w:rPr>
                      <w:rFonts w:ascii="Times New Roman" w:eastAsiaTheme="minorEastAsia" w:hAnsi="Times New Roman"/>
                      <w:b/>
                      <w:sz w:val="18"/>
                      <w:szCs w:val="18"/>
                      <w:lang w:eastAsia="lv-LV"/>
                    </w:rPr>
                    <w:t>Neatbilstība</w:t>
                  </w:r>
                </w:p>
              </w:tc>
            </w:tr>
            <w:tr w:rsidR="00253145" w:rsidRPr="00062AD4" w:rsidTr="008911E9">
              <w:trPr>
                <w:cantSplit/>
                <w:trHeight w:val="1553"/>
              </w:trPr>
              <w:tc>
                <w:tcPr>
                  <w:tcW w:w="459" w:type="dxa"/>
                  <w:vAlign w:val="center"/>
                </w:tcPr>
                <w:p w:rsidR="00253145" w:rsidRPr="00DD16B4" w:rsidRDefault="00253145" w:rsidP="0005726C">
                  <w:pPr>
                    <w:pStyle w:val="ListParagraph"/>
                    <w:ind w:left="0" w:right="43"/>
                    <w:jc w:val="center"/>
                    <w:rPr>
                      <w:rFonts w:ascii="Times New Roman" w:eastAsiaTheme="minorEastAsia" w:hAnsi="Times New Roman"/>
                      <w:sz w:val="16"/>
                      <w:szCs w:val="16"/>
                      <w:lang w:eastAsia="lv-LV"/>
                    </w:rPr>
                  </w:pPr>
                  <w:r w:rsidRPr="00DD16B4">
                    <w:rPr>
                      <w:rFonts w:ascii="Times New Roman" w:eastAsiaTheme="minorEastAsia" w:hAnsi="Times New Roman"/>
                      <w:sz w:val="16"/>
                      <w:szCs w:val="16"/>
                      <w:lang w:eastAsia="lv-LV"/>
                    </w:rPr>
                    <w:t>19.</w:t>
                  </w:r>
                </w:p>
              </w:tc>
              <w:tc>
                <w:tcPr>
                  <w:tcW w:w="675" w:type="dxa"/>
                  <w:textDirection w:val="btLr"/>
                  <w:vAlign w:val="center"/>
                </w:tcPr>
                <w:p w:rsidR="00253145" w:rsidRPr="00DD16B4" w:rsidRDefault="00253145" w:rsidP="0005726C">
                  <w:pPr>
                    <w:jc w:val="center"/>
                    <w:rPr>
                      <w:sz w:val="16"/>
                      <w:szCs w:val="16"/>
                    </w:rPr>
                  </w:pPr>
                  <w:r w:rsidRPr="00DD16B4">
                    <w:rPr>
                      <w:sz w:val="16"/>
                      <w:szCs w:val="16"/>
                    </w:rPr>
                    <w:t>Ginekoloģiskie spoguļi</w:t>
                  </w:r>
                </w:p>
              </w:tc>
              <w:tc>
                <w:tcPr>
                  <w:tcW w:w="4678" w:type="dxa"/>
                  <w:vAlign w:val="center"/>
                </w:tcPr>
                <w:p w:rsidR="00253145" w:rsidRPr="004109B1" w:rsidRDefault="00253145" w:rsidP="0005726C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4109B1">
                    <w:rPr>
                      <w:sz w:val="16"/>
                      <w:szCs w:val="16"/>
                    </w:rPr>
                    <w:t>Polisterēna</w:t>
                  </w:r>
                  <w:proofErr w:type="spellEnd"/>
                  <w:r w:rsidRPr="004109B1">
                    <w:rPr>
                      <w:sz w:val="16"/>
                      <w:szCs w:val="16"/>
                    </w:rPr>
                    <w:t xml:space="preserve"> ginekoloģiskie spoguļi ar aizspiežamu mehānismu, katrs spogulis ir sterili iepakots atsevišķā iepakojumā. Izmērs: M. Iepakojumā: 50 gab.</w:t>
                  </w:r>
                </w:p>
              </w:tc>
              <w:tc>
                <w:tcPr>
                  <w:tcW w:w="3852" w:type="dxa"/>
                  <w:vAlign w:val="center"/>
                </w:tcPr>
                <w:p w:rsidR="00253145" w:rsidRPr="004109B1" w:rsidRDefault="00253145" w:rsidP="0005726C">
                  <w:pPr>
                    <w:pStyle w:val="ListParagraph"/>
                    <w:ind w:left="0" w:right="43"/>
                    <w:jc w:val="center"/>
                    <w:rPr>
                      <w:rFonts w:ascii="Times New Roman" w:eastAsiaTheme="minorEastAsia" w:hAnsi="Times New Roman"/>
                      <w:b/>
                      <w:sz w:val="16"/>
                      <w:szCs w:val="16"/>
                      <w:lang w:eastAsia="lv-LV"/>
                    </w:rPr>
                  </w:pPr>
                  <w:r w:rsidRPr="004109B1">
                    <w:rPr>
                      <w:rFonts w:ascii="Times New Roman" w:hAnsi="Times New Roman"/>
                      <w:sz w:val="16"/>
                      <w:szCs w:val="16"/>
                      <w:lang w:eastAsia="lv-LV"/>
                    </w:rPr>
                    <w:t>Neatbilst minimālām tehniskajā prasībām. Prece nav ar aizspiežamu mehānismu. Pretendents piedāvājuma skaidrojumā norādīja, ka ginekoloģiskais spogulis ir skrūvējams ar puspagrieziena fiksāciju.</w:t>
                  </w:r>
                </w:p>
              </w:tc>
            </w:tr>
          </w:tbl>
          <w:p w:rsidR="00253145" w:rsidRDefault="00253145" w:rsidP="00E377FE">
            <w:pPr>
              <w:jc w:val="both"/>
              <w:rPr>
                <w:rFonts w:eastAsiaTheme="minorEastAsia"/>
                <w:b/>
                <w:lang w:eastAsia="lv-LV"/>
              </w:rPr>
            </w:pPr>
          </w:p>
          <w:p w:rsidR="00E377FE" w:rsidRPr="008911E9" w:rsidRDefault="00253145" w:rsidP="00E377FE">
            <w:pPr>
              <w:jc w:val="both"/>
              <w:rPr>
                <w:rFonts w:eastAsiaTheme="minorEastAsia"/>
                <w:lang w:eastAsia="lv-LV"/>
              </w:rPr>
            </w:pPr>
            <w:r w:rsidRPr="008911E9">
              <w:rPr>
                <w:rFonts w:eastAsiaTheme="minorEastAsia"/>
                <w:lang w:eastAsia="lv-LV"/>
              </w:rPr>
              <w:t>SIA “B.Braun Medical” piedāvājums 36. pozīcijā</w:t>
            </w:r>
            <w:r>
              <w:rPr>
                <w:rFonts w:eastAsiaTheme="minorEastAsia"/>
                <w:lang w:eastAsia="lv-LV"/>
              </w:rPr>
              <w:t xml:space="preserve"> “</w:t>
            </w:r>
            <w:r w:rsidRPr="004A00CE">
              <w:rPr>
                <w:rFonts w:eastAsiaTheme="minorEastAsia"/>
                <w:lang w:eastAsia="lv-LV"/>
              </w:rPr>
              <w:t>Pārsējs izgulējumu kopšanai</w:t>
            </w:r>
            <w:r>
              <w:rPr>
                <w:rFonts w:eastAsiaTheme="minorEastAsia"/>
                <w:lang w:eastAsia="lv-LV"/>
              </w:rPr>
              <w:t xml:space="preserve">” </w:t>
            </w:r>
            <w:r w:rsidRPr="00A512CD">
              <w:rPr>
                <w:rFonts w:eastAsiaTheme="minorEastAsia"/>
                <w:i/>
                <w:lang w:eastAsia="lv-LV"/>
              </w:rPr>
              <w:t xml:space="preserve">(Pārsējs izgulējumu kopšanai ar </w:t>
            </w:r>
            <w:proofErr w:type="spellStart"/>
            <w:r w:rsidRPr="00A512CD">
              <w:rPr>
                <w:rFonts w:eastAsiaTheme="minorEastAsia"/>
                <w:i/>
                <w:lang w:eastAsia="lv-LV"/>
              </w:rPr>
              <w:t>hidrocelulārām</w:t>
            </w:r>
            <w:proofErr w:type="spellEnd"/>
            <w:r w:rsidRPr="00A512CD">
              <w:rPr>
                <w:rFonts w:eastAsiaTheme="minorEastAsia"/>
                <w:i/>
                <w:lang w:eastAsia="lv-LV"/>
              </w:rPr>
              <w:t xml:space="preserve"> putām, stipri </w:t>
            </w:r>
            <w:proofErr w:type="spellStart"/>
            <w:r w:rsidRPr="00A512CD">
              <w:rPr>
                <w:rFonts w:eastAsiaTheme="minorEastAsia"/>
                <w:i/>
                <w:lang w:eastAsia="lv-LV"/>
              </w:rPr>
              <w:t>eksudējošām</w:t>
            </w:r>
            <w:proofErr w:type="spellEnd"/>
            <w:r w:rsidRPr="00A512CD">
              <w:rPr>
                <w:rFonts w:eastAsiaTheme="minorEastAsia"/>
                <w:i/>
                <w:lang w:eastAsia="lv-LV"/>
              </w:rPr>
              <w:t xml:space="preserve">, granulējošām brūcēm, </w:t>
            </w:r>
            <w:proofErr w:type="spellStart"/>
            <w:r w:rsidRPr="00A512CD">
              <w:rPr>
                <w:rFonts w:eastAsiaTheme="minorEastAsia"/>
                <w:i/>
                <w:lang w:eastAsia="lv-LV"/>
              </w:rPr>
              <w:t>pašlīpošs</w:t>
            </w:r>
            <w:proofErr w:type="spellEnd"/>
            <w:r w:rsidRPr="00A512CD">
              <w:rPr>
                <w:rFonts w:eastAsiaTheme="minorEastAsia"/>
                <w:i/>
                <w:lang w:eastAsia="lv-LV"/>
              </w:rPr>
              <w:t xml:space="preserve"> brūces </w:t>
            </w:r>
            <w:proofErr w:type="spellStart"/>
            <w:r w:rsidRPr="00A512CD">
              <w:rPr>
                <w:rFonts w:eastAsiaTheme="minorEastAsia"/>
                <w:i/>
                <w:lang w:eastAsia="lv-LV"/>
              </w:rPr>
              <w:t>kontaktslānis</w:t>
            </w:r>
            <w:proofErr w:type="spellEnd"/>
            <w:r w:rsidRPr="00A512CD">
              <w:rPr>
                <w:rFonts w:eastAsiaTheme="minorEastAsia"/>
                <w:i/>
                <w:lang w:eastAsia="lv-LV"/>
              </w:rPr>
              <w:t xml:space="preserve"> pārklāts ar saudzējošu, </w:t>
            </w:r>
            <w:proofErr w:type="spellStart"/>
            <w:r w:rsidRPr="00A512CD">
              <w:rPr>
                <w:rFonts w:eastAsiaTheme="minorEastAsia"/>
                <w:i/>
                <w:lang w:eastAsia="lv-LV"/>
              </w:rPr>
              <w:t>mazalerģisku</w:t>
            </w:r>
            <w:proofErr w:type="spellEnd"/>
            <w:r w:rsidRPr="00A512CD">
              <w:rPr>
                <w:rFonts w:eastAsiaTheme="minorEastAsia"/>
                <w:i/>
                <w:lang w:eastAsia="lv-LV"/>
              </w:rPr>
              <w:t xml:space="preserve"> </w:t>
            </w:r>
            <w:proofErr w:type="spellStart"/>
            <w:r w:rsidRPr="00A512CD">
              <w:rPr>
                <w:rFonts w:eastAsiaTheme="minorEastAsia"/>
                <w:i/>
                <w:lang w:eastAsia="lv-LV"/>
              </w:rPr>
              <w:t>līpvielu</w:t>
            </w:r>
            <w:proofErr w:type="spellEnd"/>
            <w:r w:rsidRPr="00A512CD">
              <w:rPr>
                <w:rFonts w:eastAsiaTheme="minorEastAsia"/>
                <w:i/>
                <w:lang w:eastAsia="lv-LV"/>
              </w:rPr>
              <w:t xml:space="preserve">, izcili absorbējošs vidējais </w:t>
            </w:r>
            <w:proofErr w:type="spellStart"/>
            <w:r w:rsidRPr="00A512CD">
              <w:rPr>
                <w:rFonts w:eastAsiaTheme="minorEastAsia"/>
                <w:i/>
                <w:lang w:eastAsia="lv-LV"/>
              </w:rPr>
              <w:t>hidrocelulārais</w:t>
            </w:r>
            <w:proofErr w:type="spellEnd"/>
            <w:r w:rsidRPr="00A512CD">
              <w:rPr>
                <w:rFonts w:eastAsiaTheme="minorEastAsia"/>
                <w:i/>
                <w:lang w:eastAsia="lv-LV"/>
              </w:rPr>
              <w:t xml:space="preserve"> slānis, labi pielīp sausai un veselai ādai, to netraumējot, bet nelīp pie brūces, var turēt uz brūces līdz 7 dienām, izmērs: 12,5 cm +/-1 cm x 12,5 cm +/-1 cm. Iepakojumā: vismaz 1 gab.) </w:t>
            </w:r>
            <w:r w:rsidRPr="008911E9">
              <w:rPr>
                <w:rFonts w:eastAsiaTheme="minorEastAsia"/>
                <w:lang w:eastAsia="lv-LV"/>
              </w:rPr>
              <w:t>ir neatbilstošs, jo, atverot pretendenta norādīto interneta vietni, tiek piedāvāts pārsējs ar izmēriem 10 cm x 10 cm, nevis 12,5 cm +/-1 cm x 12,5 cm +/-1 cm, kā tas ir prasīts izvirzītajās minimālajās tehniskajās specifikācijās</w:t>
            </w:r>
            <w:r w:rsidRPr="008911E9">
              <w:rPr>
                <w:rFonts w:eastAsiaTheme="minorEastAsia"/>
                <w:lang w:eastAsia="lv-LV"/>
              </w:rPr>
              <w:t>.</w:t>
            </w:r>
          </w:p>
          <w:p w:rsidR="00253145" w:rsidRPr="008911E9" w:rsidRDefault="00253145" w:rsidP="00E377FE">
            <w:pPr>
              <w:jc w:val="both"/>
              <w:rPr>
                <w:rFonts w:eastAsiaTheme="minorEastAsia"/>
                <w:lang w:eastAsia="lv-LV"/>
              </w:rPr>
            </w:pPr>
          </w:p>
          <w:p w:rsidR="00253145" w:rsidRDefault="00253145" w:rsidP="00E377FE">
            <w:pPr>
              <w:jc w:val="both"/>
            </w:pPr>
          </w:p>
        </w:tc>
      </w:tr>
      <w:tr w:rsidR="005E4E98" w:rsidRPr="005F207C" w:rsidTr="005E4E98">
        <w:trPr>
          <w:trHeight w:val="2409"/>
        </w:trPr>
        <w:tc>
          <w:tcPr>
            <w:tcW w:w="2549" w:type="dxa"/>
          </w:tcPr>
          <w:p w:rsidR="005E4E98" w:rsidRDefault="005E4E98" w:rsidP="007A5D60">
            <w:pPr>
              <w:jc w:val="both"/>
            </w:pPr>
            <w:r>
              <w:t>J</w:t>
            </w:r>
            <w:r w:rsidRPr="005F207C">
              <w:t>a piedāvājumu iesniedzis tikai viens piegādātājs, – pamatojums iepirkuma procedūra</w:t>
            </w:r>
            <w:r>
              <w:t xml:space="preserve">s nepārtraukšanai saskaņā ar </w:t>
            </w:r>
            <w:r w:rsidRPr="005F207C">
              <w:t>noteikumu </w:t>
            </w:r>
            <w:r w:rsidRPr="004F40F8">
              <w:t>19. punktu</w:t>
            </w:r>
          </w:p>
        </w:tc>
        <w:tc>
          <w:tcPr>
            <w:tcW w:w="7883" w:type="dxa"/>
          </w:tcPr>
          <w:p w:rsidR="005E4E98" w:rsidRDefault="005E4E98" w:rsidP="00692A49">
            <w:pPr>
              <w:jc w:val="both"/>
            </w:pPr>
            <w:r>
              <w:t>-</w:t>
            </w:r>
          </w:p>
        </w:tc>
      </w:tr>
      <w:tr w:rsidR="006A12EA" w:rsidRPr="005F207C" w:rsidTr="006A12EA">
        <w:trPr>
          <w:trHeight w:val="700"/>
        </w:trPr>
        <w:tc>
          <w:tcPr>
            <w:tcW w:w="10432" w:type="dxa"/>
            <w:gridSpan w:val="2"/>
          </w:tcPr>
          <w:p w:rsidR="006A12EA" w:rsidRDefault="006A12EA" w:rsidP="00692A49">
            <w:pPr>
              <w:jc w:val="both"/>
            </w:pPr>
            <w:r>
              <w:t>L</w:t>
            </w:r>
            <w:r w:rsidRPr="005F207C">
              <w:t>ēmuma pamatojums, ja iepirkuma komisija pieņēmusi lēmumu pārtraukt vai izbeigt iepirkuma procedūru</w:t>
            </w:r>
          </w:p>
        </w:tc>
      </w:tr>
      <w:tr w:rsidR="006A12EA" w:rsidRPr="005F207C" w:rsidTr="004109B1">
        <w:trPr>
          <w:trHeight w:val="5667"/>
        </w:trPr>
        <w:tc>
          <w:tcPr>
            <w:tcW w:w="10432" w:type="dxa"/>
            <w:gridSpan w:val="2"/>
          </w:tcPr>
          <w:p w:rsidR="006A12EA" w:rsidRDefault="004109B1" w:rsidP="00142B49">
            <w:pPr>
              <w:spacing w:line="276" w:lineRule="auto"/>
              <w:jc w:val="both"/>
              <w:rPr>
                <w:rFonts w:eastAsiaTheme="minorEastAsia"/>
                <w:lang w:eastAsia="lv-LV"/>
              </w:rPr>
            </w:pPr>
            <w:r w:rsidRPr="00DA423C">
              <w:t xml:space="preserve">Atbilstoši nolikuma 20.6.punktam </w:t>
            </w:r>
            <w:r>
              <w:t xml:space="preserve">iepirkuma komisija </w:t>
            </w:r>
            <w:r w:rsidRPr="00DA423C">
              <w:t>nolēma izbeigt atklātu konkursu zemāk minētajās pozīcijās, kur netika iesniegti piedāvājumi</w:t>
            </w:r>
            <w:r w:rsidR="006A12EA">
              <w:rPr>
                <w:rFonts w:eastAsiaTheme="minorEastAsia"/>
                <w:lang w:eastAsia="lv-LV"/>
              </w:rPr>
              <w:t>:</w:t>
            </w:r>
          </w:p>
          <w:tbl>
            <w:tblPr>
              <w:tblStyle w:val="TableGrid1"/>
              <w:tblW w:w="7229" w:type="dxa"/>
              <w:tblInd w:w="675" w:type="dxa"/>
              <w:tblLook w:val="04A0" w:firstRow="1" w:lastRow="0" w:firstColumn="1" w:lastColumn="0" w:noHBand="0" w:noVBand="1"/>
            </w:tblPr>
            <w:tblGrid>
              <w:gridCol w:w="1843"/>
              <w:gridCol w:w="5386"/>
            </w:tblGrid>
            <w:tr w:rsidR="004109B1" w:rsidRPr="008E7AAB" w:rsidTr="0005726C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09B1" w:rsidRPr="00EB0647" w:rsidRDefault="004109B1" w:rsidP="0005726C">
                  <w:pPr>
                    <w:ind w:left="34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EB0647">
                    <w:rPr>
                      <w:rFonts w:cs="Times New Roman"/>
                      <w:b/>
                      <w:sz w:val="20"/>
                      <w:szCs w:val="20"/>
                    </w:rPr>
                    <w:t>Pozīcijas Nr.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09B1" w:rsidRPr="00EB0647" w:rsidRDefault="004109B1" w:rsidP="0005726C">
                  <w:pPr>
                    <w:ind w:left="1418" w:hanging="851"/>
                    <w:jc w:val="center"/>
                    <w:rPr>
                      <w:rFonts w:cs="Times New Roman"/>
                      <w:sz w:val="19"/>
                      <w:szCs w:val="19"/>
                    </w:rPr>
                  </w:pPr>
                  <w:r w:rsidRPr="00EB0647">
                    <w:rPr>
                      <w:rFonts w:cs="Times New Roman"/>
                      <w:b/>
                      <w:sz w:val="20"/>
                      <w:szCs w:val="20"/>
                    </w:rPr>
                    <w:t>Pozīcijas nosaukums</w:t>
                  </w:r>
                </w:p>
              </w:tc>
            </w:tr>
            <w:tr w:rsidR="004109B1" w:rsidRPr="008E7AAB" w:rsidTr="0005726C">
              <w:tc>
                <w:tcPr>
                  <w:tcW w:w="1843" w:type="dxa"/>
                  <w:shd w:val="clear" w:color="auto" w:fill="auto"/>
                  <w:vAlign w:val="center"/>
                </w:tcPr>
                <w:p w:rsidR="004109B1" w:rsidRPr="00EB0647" w:rsidRDefault="004109B1" w:rsidP="0005726C">
                  <w:pPr>
                    <w:ind w:left="34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EB0647">
                    <w:rPr>
                      <w:rFonts w:cs="Times New Roman"/>
                      <w:b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5386" w:type="dxa"/>
                  <w:shd w:val="clear" w:color="auto" w:fill="auto"/>
                  <w:vAlign w:val="center"/>
                </w:tcPr>
                <w:p w:rsidR="004109B1" w:rsidRPr="00EB0647" w:rsidRDefault="004109B1" w:rsidP="0005726C">
                  <w:pPr>
                    <w:ind w:left="1418" w:hanging="851"/>
                    <w:jc w:val="center"/>
                    <w:rPr>
                      <w:rFonts w:cs="Times New Roman"/>
                      <w:sz w:val="19"/>
                      <w:szCs w:val="19"/>
                    </w:rPr>
                  </w:pPr>
                  <w:proofErr w:type="spellStart"/>
                  <w:r w:rsidRPr="00EB0647">
                    <w:rPr>
                      <w:rFonts w:cs="Times New Roman"/>
                      <w:sz w:val="19"/>
                      <w:szCs w:val="19"/>
                    </w:rPr>
                    <w:t>Citoloģiskā</w:t>
                  </w:r>
                  <w:proofErr w:type="spellEnd"/>
                  <w:r w:rsidRPr="00EB0647">
                    <w:rPr>
                      <w:rFonts w:cs="Times New Roman"/>
                      <w:sz w:val="19"/>
                      <w:szCs w:val="19"/>
                    </w:rPr>
                    <w:t xml:space="preserve"> birstīte</w:t>
                  </w:r>
                </w:p>
              </w:tc>
            </w:tr>
            <w:tr w:rsidR="004109B1" w:rsidRPr="008E7AAB" w:rsidTr="0005726C">
              <w:tc>
                <w:tcPr>
                  <w:tcW w:w="1843" w:type="dxa"/>
                  <w:shd w:val="clear" w:color="auto" w:fill="auto"/>
                  <w:vAlign w:val="center"/>
                </w:tcPr>
                <w:p w:rsidR="004109B1" w:rsidRPr="00EB0647" w:rsidRDefault="004109B1" w:rsidP="0005726C">
                  <w:pPr>
                    <w:ind w:left="34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EB0647">
                    <w:rPr>
                      <w:rFonts w:cs="Times New Roman"/>
                      <w:b/>
                      <w:sz w:val="20"/>
                      <w:szCs w:val="20"/>
                    </w:rPr>
                    <w:t>17.</w:t>
                  </w:r>
                </w:p>
              </w:tc>
              <w:tc>
                <w:tcPr>
                  <w:tcW w:w="5386" w:type="dxa"/>
                  <w:shd w:val="clear" w:color="auto" w:fill="auto"/>
                  <w:vAlign w:val="center"/>
                </w:tcPr>
                <w:p w:rsidR="004109B1" w:rsidRPr="00EB0647" w:rsidRDefault="004109B1" w:rsidP="0005726C">
                  <w:pPr>
                    <w:ind w:left="1418" w:hanging="851"/>
                    <w:jc w:val="center"/>
                    <w:rPr>
                      <w:rFonts w:cs="Times New Roman"/>
                      <w:sz w:val="19"/>
                      <w:szCs w:val="19"/>
                    </w:rPr>
                  </w:pPr>
                  <w:r w:rsidRPr="00EB0647">
                    <w:rPr>
                      <w:rFonts w:cs="Times New Roman"/>
                      <w:sz w:val="19"/>
                      <w:szCs w:val="19"/>
                    </w:rPr>
                    <w:t xml:space="preserve">Ginekoloģiskā </w:t>
                  </w:r>
                  <w:proofErr w:type="spellStart"/>
                  <w:r w:rsidRPr="00EB0647">
                    <w:rPr>
                      <w:rFonts w:cs="Times New Roman"/>
                      <w:sz w:val="19"/>
                      <w:szCs w:val="19"/>
                    </w:rPr>
                    <w:t>špātele</w:t>
                  </w:r>
                  <w:proofErr w:type="spellEnd"/>
                </w:p>
              </w:tc>
            </w:tr>
            <w:tr w:rsidR="004109B1" w:rsidRPr="008E7AAB" w:rsidTr="0005726C">
              <w:tc>
                <w:tcPr>
                  <w:tcW w:w="1843" w:type="dxa"/>
                  <w:shd w:val="clear" w:color="auto" w:fill="auto"/>
                  <w:vAlign w:val="center"/>
                </w:tcPr>
                <w:p w:rsidR="004109B1" w:rsidRPr="00EB0647" w:rsidRDefault="004109B1" w:rsidP="0005726C">
                  <w:pPr>
                    <w:ind w:left="34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EB0647">
                    <w:rPr>
                      <w:rFonts w:cs="Times New Roman"/>
                      <w:b/>
                      <w:sz w:val="20"/>
                      <w:szCs w:val="20"/>
                    </w:rPr>
                    <w:t>33.</w:t>
                  </w:r>
                </w:p>
              </w:tc>
              <w:tc>
                <w:tcPr>
                  <w:tcW w:w="5386" w:type="dxa"/>
                  <w:shd w:val="clear" w:color="auto" w:fill="auto"/>
                  <w:vAlign w:val="center"/>
                </w:tcPr>
                <w:p w:rsidR="004109B1" w:rsidRPr="00EB0647" w:rsidRDefault="004109B1" w:rsidP="0005726C">
                  <w:pPr>
                    <w:ind w:left="1418" w:hanging="851"/>
                    <w:jc w:val="center"/>
                    <w:rPr>
                      <w:rFonts w:cs="Times New Roman"/>
                      <w:sz w:val="19"/>
                      <w:szCs w:val="19"/>
                    </w:rPr>
                  </w:pPr>
                  <w:r w:rsidRPr="00EB0647">
                    <w:rPr>
                      <w:rFonts w:cs="Times New Roman"/>
                      <w:sz w:val="19"/>
                      <w:szCs w:val="19"/>
                    </w:rPr>
                    <w:t>Minerāleļļa</w:t>
                  </w:r>
                </w:p>
              </w:tc>
            </w:tr>
            <w:tr w:rsidR="004109B1" w:rsidRPr="008E7AAB" w:rsidTr="0005726C">
              <w:trPr>
                <w:trHeight w:val="289"/>
              </w:trPr>
              <w:tc>
                <w:tcPr>
                  <w:tcW w:w="1843" w:type="dxa"/>
                  <w:shd w:val="clear" w:color="auto" w:fill="auto"/>
                  <w:vAlign w:val="center"/>
                </w:tcPr>
                <w:p w:rsidR="004109B1" w:rsidRPr="00EB0647" w:rsidRDefault="004109B1" w:rsidP="0005726C">
                  <w:pPr>
                    <w:ind w:left="34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EB0647">
                    <w:rPr>
                      <w:rFonts w:cs="Times New Roman"/>
                      <w:b/>
                      <w:sz w:val="20"/>
                      <w:szCs w:val="20"/>
                    </w:rPr>
                    <w:t>44.</w:t>
                  </w:r>
                </w:p>
              </w:tc>
              <w:tc>
                <w:tcPr>
                  <w:tcW w:w="5386" w:type="dxa"/>
                  <w:shd w:val="clear" w:color="auto" w:fill="auto"/>
                  <w:vAlign w:val="center"/>
                </w:tcPr>
                <w:p w:rsidR="004109B1" w:rsidRPr="00EB0647" w:rsidRDefault="004109B1" w:rsidP="0005726C">
                  <w:pPr>
                    <w:ind w:left="1418" w:hanging="851"/>
                    <w:jc w:val="center"/>
                    <w:rPr>
                      <w:rFonts w:cs="Times New Roman"/>
                      <w:sz w:val="19"/>
                      <w:szCs w:val="19"/>
                    </w:rPr>
                  </w:pPr>
                  <w:r w:rsidRPr="00EB0647">
                    <w:rPr>
                      <w:rFonts w:cs="Times New Roman"/>
                      <w:sz w:val="19"/>
                      <w:szCs w:val="19"/>
                    </w:rPr>
                    <w:t>Pretsēnīšu līdzeklis</w:t>
                  </w:r>
                </w:p>
              </w:tc>
            </w:tr>
            <w:tr w:rsidR="004109B1" w:rsidRPr="008E7AAB" w:rsidTr="0005726C">
              <w:trPr>
                <w:trHeight w:val="298"/>
              </w:trPr>
              <w:tc>
                <w:tcPr>
                  <w:tcW w:w="1843" w:type="dxa"/>
                  <w:shd w:val="clear" w:color="auto" w:fill="auto"/>
                  <w:vAlign w:val="center"/>
                </w:tcPr>
                <w:p w:rsidR="004109B1" w:rsidRPr="00EB0647" w:rsidRDefault="004109B1" w:rsidP="0005726C">
                  <w:pPr>
                    <w:ind w:left="34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EB0647">
                    <w:rPr>
                      <w:rFonts w:cs="Times New Roman"/>
                      <w:b/>
                      <w:sz w:val="20"/>
                      <w:szCs w:val="20"/>
                    </w:rPr>
                    <w:t>45.</w:t>
                  </w:r>
                </w:p>
              </w:tc>
              <w:tc>
                <w:tcPr>
                  <w:tcW w:w="5386" w:type="dxa"/>
                  <w:shd w:val="clear" w:color="auto" w:fill="auto"/>
                  <w:vAlign w:val="center"/>
                </w:tcPr>
                <w:p w:rsidR="004109B1" w:rsidRPr="00EB0647" w:rsidRDefault="004109B1" w:rsidP="0005726C">
                  <w:pPr>
                    <w:ind w:left="1418" w:hanging="851"/>
                    <w:jc w:val="center"/>
                    <w:rPr>
                      <w:rFonts w:cs="Times New Roman"/>
                      <w:sz w:val="19"/>
                      <w:szCs w:val="19"/>
                    </w:rPr>
                  </w:pPr>
                  <w:r w:rsidRPr="00EB0647">
                    <w:rPr>
                      <w:rFonts w:cs="Times New Roman"/>
                      <w:sz w:val="19"/>
                      <w:szCs w:val="19"/>
                    </w:rPr>
                    <w:t xml:space="preserve">References </w:t>
                  </w:r>
                  <w:proofErr w:type="spellStart"/>
                  <w:r w:rsidRPr="00EB0647">
                    <w:rPr>
                      <w:rFonts w:cs="Times New Roman"/>
                      <w:sz w:val="19"/>
                      <w:szCs w:val="19"/>
                    </w:rPr>
                    <w:t>standartmateriāls</w:t>
                  </w:r>
                  <w:proofErr w:type="spellEnd"/>
                </w:p>
              </w:tc>
            </w:tr>
            <w:tr w:rsidR="004109B1" w:rsidRPr="008E7AAB" w:rsidTr="0005726C">
              <w:tc>
                <w:tcPr>
                  <w:tcW w:w="1843" w:type="dxa"/>
                  <w:shd w:val="clear" w:color="auto" w:fill="auto"/>
                  <w:vAlign w:val="center"/>
                </w:tcPr>
                <w:p w:rsidR="004109B1" w:rsidRPr="00EB0647" w:rsidRDefault="004109B1" w:rsidP="0005726C">
                  <w:pPr>
                    <w:ind w:left="34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EB0647">
                    <w:rPr>
                      <w:rFonts w:cs="Times New Roman"/>
                      <w:b/>
                      <w:sz w:val="20"/>
                      <w:szCs w:val="20"/>
                    </w:rPr>
                    <w:t>46.</w:t>
                  </w:r>
                </w:p>
              </w:tc>
              <w:tc>
                <w:tcPr>
                  <w:tcW w:w="5386" w:type="dxa"/>
                  <w:shd w:val="clear" w:color="auto" w:fill="auto"/>
                  <w:vAlign w:val="center"/>
                </w:tcPr>
                <w:p w:rsidR="004109B1" w:rsidRPr="00EB0647" w:rsidRDefault="004109B1" w:rsidP="0005726C">
                  <w:pPr>
                    <w:ind w:left="1418" w:hanging="851"/>
                    <w:jc w:val="center"/>
                    <w:rPr>
                      <w:rFonts w:cs="Times New Roman"/>
                      <w:sz w:val="19"/>
                      <w:szCs w:val="19"/>
                    </w:rPr>
                  </w:pPr>
                  <w:r w:rsidRPr="00EB0647">
                    <w:rPr>
                      <w:rFonts w:cs="Times New Roman"/>
                      <w:sz w:val="19"/>
                      <w:szCs w:val="19"/>
                    </w:rPr>
                    <w:t xml:space="preserve">References </w:t>
                  </w:r>
                  <w:proofErr w:type="spellStart"/>
                  <w:r w:rsidRPr="00EB0647">
                    <w:rPr>
                      <w:rFonts w:cs="Times New Roman"/>
                      <w:sz w:val="19"/>
                      <w:szCs w:val="19"/>
                    </w:rPr>
                    <w:t>standartmateriāls</w:t>
                  </w:r>
                  <w:proofErr w:type="spellEnd"/>
                </w:p>
              </w:tc>
            </w:tr>
            <w:tr w:rsidR="004109B1" w:rsidRPr="008E7AAB" w:rsidTr="0005726C">
              <w:tc>
                <w:tcPr>
                  <w:tcW w:w="1843" w:type="dxa"/>
                  <w:shd w:val="clear" w:color="auto" w:fill="auto"/>
                  <w:vAlign w:val="center"/>
                </w:tcPr>
                <w:p w:rsidR="004109B1" w:rsidRPr="00EB0647" w:rsidRDefault="004109B1" w:rsidP="0005726C">
                  <w:pPr>
                    <w:ind w:left="34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EB0647">
                    <w:rPr>
                      <w:rFonts w:cs="Times New Roman"/>
                      <w:b/>
                      <w:sz w:val="20"/>
                      <w:szCs w:val="20"/>
                    </w:rPr>
                    <w:t>47.</w:t>
                  </w:r>
                </w:p>
              </w:tc>
              <w:tc>
                <w:tcPr>
                  <w:tcW w:w="5386" w:type="dxa"/>
                  <w:shd w:val="clear" w:color="auto" w:fill="auto"/>
                  <w:vAlign w:val="center"/>
                </w:tcPr>
                <w:p w:rsidR="004109B1" w:rsidRPr="00EB0647" w:rsidRDefault="004109B1" w:rsidP="0005726C">
                  <w:pPr>
                    <w:ind w:left="1418" w:hanging="851"/>
                    <w:jc w:val="center"/>
                    <w:rPr>
                      <w:rFonts w:cs="Times New Roman"/>
                      <w:sz w:val="19"/>
                      <w:szCs w:val="19"/>
                    </w:rPr>
                  </w:pPr>
                  <w:r w:rsidRPr="00EB0647">
                    <w:rPr>
                      <w:rFonts w:cs="Times New Roman"/>
                      <w:sz w:val="19"/>
                      <w:szCs w:val="19"/>
                    </w:rPr>
                    <w:t xml:space="preserve">References </w:t>
                  </w:r>
                  <w:proofErr w:type="spellStart"/>
                  <w:r w:rsidRPr="00EB0647">
                    <w:rPr>
                      <w:rFonts w:cs="Times New Roman"/>
                      <w:sz w:val="19"/>
                      <w:szCs w:val="19"/>
                    </w:rPr>
                    <w:t>standartmateriāls</w:t>
                  </w:r>
                  <w:proofErr w:type="spellEnd"/>
                </w:p>
              </w:tc>
            </w:tr>
            <w:tr w:rsidR="004109B1" w:rsidRPr="008E7AAB" w:rsidTr="0005726C">
              <w:trPr>
                <w:trHeight w:val="273"/>
              </w:trPr>
              <w:tc>
                <w:tcPr>
                  <w:tcW w:w="1843" w:type="dxa"/>
                  <w:shd w:val="clear" w:color="auto" w:fill="auto"/>
                  <w:vAlign w:val="center"/>
                </w:tcPr>
                <w:p w:rsidR="004109B1" w:rsidRPr="00EB0647" w:rsidRDefault="004109B1" w:rsidP="0005726C">
                  <w:pPr>
                    <w:ind w:left="34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EB0647">
                    <w:rPr>
                      <w:rFonts w:cs="Times New Roman"/>
                      <w:b/>
                      <w:sz w:val="20"/>
                      <w:szCs w:val="20"/>
                    </w:rPr>
                    <w:t>50.</w:t>
                  </w:r>
                </w:p>
              </w:tc>
              <w:tc>
                <w:tcPr>
                  <w:tcW w:w="5386" w:type="dxa"/>
                  <w:shd w:val="clear" w:color="auto" w:fill="auto"/>
                  <w:vAlign w:val="center"/>
                </w:tcPr>
                <w:p w:rsidR="004109B1" w:rsidRPr="00EB0647" w:rsidRDefault="004109B1" w:rsidP="0005726C">
                  <w:pPr>
                    <w:ind w:left="1418" w:hanging="851"/>
                    <w:jc w:val="center"/>
                    <w:rPr>
                      <w:rFonts w:cs="Times New Roman"/>
                      <w:sz w:val="19"/>
                      <w:szCs w:val="19"/>
                    </w:rPr>
                  </w:pPr>
                  <w:proofErr w:type="spellStart"/>
                  <w:r w:rsidRPr="00EB0647">
                    <w:rPr>
                      <w:rFonts w:cs="Times New Roman"/>
                      <w:sz w:val="19"/>
                      <w:szCs w:val="19"/>
                    </w:rPr>
                    <w:t>Stripi</w:t>
                  </w:r>
                  <w:proofErr w:type="spellEnd"/>
                </w:p>
              </w:tc>
            </w:tr>
            <w:tr w:rsidR="004109B1" w:rsidRPr="008E7AAB" w:rsidTr="0005726C">
              <w:trPr>
                <w:trHeight w:val="334"/>
              </w:trPr>
              <w:tc>
                <w:tcPr>
                  <w:tcW w:w="1843" w:type="dxa"/>
                  <w:shd w:val="clear" w:color="auto" w:fill="auto"/>
                  <w:vAlign w:val="center"/>
                </w:tcPr>
                <w:p w:rsidR="004109B1" w:rsidRPr="00EB0647" w:rsidRDefault="004109B1" w:rsidP="0005726C">
                  <w:pPr>
                    <w:ind w:left="34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EB0647">
                    <w:rPr>
                      <w:rFonts w:cs="Times New Roman"/>
                      <w:b/>
                      <w:sz w:val="20"/>
                      <w:szCs w:val="20"/>
                    </w:rPr>
                    <w:t>54.</w:t>
                  </w:r>
                </w:p>
              </w:tc>
              <w:tc>
                <w:tcPr>
                  <w:tcW w:w="5386" w:type="dxa"/>
                  <w:shd w:val="clear" w:color="auto" w:fill="auto"/>
                  <w:vAlign w:val="center"/>
                </w:tcPr>
                <w:p w:rsidR="004109B1" w:rsidRPr="00EB0647" w:rsidRDefault="004109B1" w:rsidP="0005726C">
                  <w:pPr>
                    <w:ind w:left="1418" w:hanging="851"/>
                    <w:jc w:val="center"/>
                    <w:rPr>
                      <w:rFonts w:cs="Times New Roman"/>
                      <w:sz w:val="19"/>
                      <w:szCs w:val="19"/>
                    </w:rPr>
                  </w:pPr>
                  <w:r w:rsidRPr="00EB0647">
                    <w:rPr>
                      <w:rFonts w:cs="Times New Roman"/>
                      <w:sz w:val="19"/>
                      <w:szCs w:val="19"/>
                    </w:rPr>
                    <w:t xml:space="preserve">US ierīču </w:t>
                  </w:r>
                  <w:proofErr w:type="spellStart"/>
                  <w:r w:rsidRPr="00EB0647">
                    <w:rPr>
                      <w:rFonts w:cs="Times New Roman"/>
                      <w:sz w:val="19"/>
                      <w:szCs w:val="19"/>
                    </w:rPr>
                    <w:t>tirīšanas</w:t>
                  </w:r>
                  <w:proofErr w:type="spellEnd"/>
                  <w:r w:rsidRPr="00EB0647">
                    <w:rPr>
                      <w:rFonts w:cs="Times New Roman"/>
                      <w:sz w:val="19"/>
                      <w:szCs w:val="19"/>
                    </w:rPr>
                    <w:t xml:space="preserve"> līdzeklis</w:t>
                  </w:r>
                </w:p>
              </w:tc>
            </w:tr>
          </w:tbl>
          <w:p w:rsidR="004109B1" w:rsidRDefault="004109B1" w:rsidP="004109B1">
            <w:pPr>
              <w:spacing w:after="200" w:line="276" w:lineRule="auto"/>
              <w:contextualSpacing/>
              <w:jc w:val="both"/>
            </w:pPr>
          </w:p>
          <w:p w:rsidR="004109B1" w:rsidRPr="004109B1" w:rsidRDefault="004109B1" w:rsidP="004109B1">
            <w:pPr>
              <w:spacing w:after="200" w:line="276" w:lineRule="auto"/>
              <w:contextualSpacing/>
              <w:jc w:val="both"/>
              <w:rPr>
                <w:rFonts w:eastAsiaTheme="minorEastAsia"/>
                <w:lang w:eastAsia="lv-LV"/>
              </w:rPr>
            </w:pPr>
            <w:r w:rsidRPr="004109B1">
              <w:rPr>
                <w:rFonts w:eastAsiaTheme="minorEastAsia"/>
                <w:lang w:eastAsia="lv-LV"/>
              </w:rPr>
              <w:t>Atbilstoši nolikuma 20.6.punktam nolēma izbeigt atklātu konkursu pozīcijās:</w:t>
            </w:r>
          </w:p>
          <w:tbl>
            <w:tblPr>
              <w:tblStyle w:val="TableGrid"/>
              <w:tblW w:w="0" w:type="auto"/>
              <w:tblInd w:w="567" w:type="dxa"/>
              <w:tblLook w:val="04A0" w:firstRow="1" w:lastRow="0" w:firstColumn="1" w:lastColumn="0" w:noHBand="0" w:noVBand="1"/>
            </w:tblPr>
            <w:tblGrid>
              <w:gridCol w:w="1951"/>
              <w:gridCol w:w="5387"/>
            </w:tblGrid>
            <w:tr w:rsidR="004109B1" w:rsidRPr="004109B1" w:rsidTr="0005726C">
              <w:tc>
                <w:tcPr>
                  <w:tcW w:w="1951" w:type="dxa"/>
                  <w:vAlign w:val="center"/>
                </w:tcPr>
                <w:p w:rsidR="004109B1" w:rsidRPr="004109B1" w:rsidRDefault="004109B1" w:rsidP="004109B1">
                  <w:pPr>
                    <w:ind w:left="34"/>
                    <w:rPr>
                      <w:b/>
                      <w:sz w:val="20"/>
                      <w:szCs w:val="20"/>
                    </w:rPr>
                  </w:pPr>
                  <w:r w:rsidRPr="004109B1">
                    <w:rPr>
                      <w:rFonts w:eastAsiaTheme="minorHAnsi"/>
                      <w:b/>
                      <w:sz w:val="20"/>
                      <w:szCs w:val="20"/>
                    </w:rPr>
                    <w:t>Pozīcijas Nr.</w:t>
                  </w:r>
                </w:p>
              </w:tc>
              <w:tc>
                <w:tcPr>
                  <w:tcW w:w="5387" w:type="dxa"/>
                  <w:vAlign w:val="center"/>
                </w:tcPr>
                <w:p w:rsidR="004109B1" w:rsidRPr="004109B1" w:rsidRDefault="004109B1" w:rsidP="004109B1">
                  <w:pPr>
                    <w:ind w:left="1418" w:hanging="851"/>
                    <w:rPr>
                      <w:rFonts w:eastAsiaTheme="minorHAnsi"/>
                      <w:sz w:val="19"/>
                      <w:szCs w:val="19"/>
                    </w:rPr>
                  </w:pPr>
                  <w:r w:rsidRPr="004109B1">
                    <w:rPr>
                      <w:rFonts w:eastAsiaTheme="minorHAnsi"/>
                      <w:b/>
                      <w:sz w:val="20"/>
                      <w:szCs w:val="20"/>
                    </w:rPr>
                    <w:t>Pozīcijas nosaukums</w:t>
                  </w:r>
                </w:p>
              </w:tc>
            </w:tr>
            <w:tr w:rsidR="004109B1" w:rsidRPr="004109B1" w:rsidTr="0005726C">
              <w:tc>
                <w:tcPr>
                  <w:tcW w:w="1951" w:type="dxa"/>
                  <w:vAlign w:val="center"/>
                </w:tcPr>
                <w:p w:rsidR="004109B1" w:rsidRPr="004109B1" w:rsidRDefault="004109B1" w:rsidP="004109B1">
                  <w:pPr>
                    <w:contextualSpacing/>
                    <w:rPr>
                      <w:rFonts w:eastAsiaTheme="minorEastAsia"/>
                      <w:b/>
                      <w:sz w:val="20"/>
                      <w:szCs w:val="20"/>
                    </w:rPr>
                  </w:pPr>
                  <w:r w:rsidRPr="004109B1">
                    <w:rPr>
                      <w:rFonts w:eastAsiaTheme="minorEastAsia"/>
                      <w:b/>
                      <w:sz w:val="20"/>
                      <w:szCs w:val="20"/>
                    </w:rPr>
                    <w:t>18.</w:t>
                  </w:r>
                </w:p>
              </w:tc>
              <w:tc>
                <w:tcPr>
                  <w:tcW w:w="5387" w:type="dxa"/>
                </w:tcPr>
                <w:p w:rsidR="004109B1" w:rsidRPr="004109B1" w:rsidRDefault="004109B1" w:rsidP="004109B1">
                  <w:pPr>
                    <w:contextualSpacing/>
                    <w:jc w:val="both"/>
                    <w:rPr>
                      <w:rFonts w:eastAsiaTheme="minorEastAsia"/>
                    </w:rPr>
                  </w:pPr>
                  <w:r w:rsidRPr="004109B1">
                    <w:rPr>
                      <w:rFonts w:eastAsiaTheme="minorEastAsia"/>
                    </w:rPr>
                    <w:t>Ginekoloģiskie spoguļi</w:t>
                  </w:r>
                </w:p>
              </w:tc>
            </w:tr>
            <w:tr w:rsidR="004109B1" w:rsidRPr="004109B1" w:rsidTr="0005726C">
              <w:tc>
                <w:tcPr>
                  <w:tcW w:w="1951" w:type="dxa"/>
                  <w:vAlign w:val="center"/>
                </w:tcPr>
                <w:p w:rsidR="004109B1" w:rsidRPr="004109B1" w:rsidRDefault="004109B1" w:rsidP="004109B1">
                  <w:pPr>
                    <w:contextualSpacing/>
                    <w:rPr>
                      <w:rFonts w:eastAsiaTheme="minorEastAsia"/>
                      <w:b/>
                      <w:sz w:val="20"/>
                      <w:szCs w:val="20"/>
                    </w:rPr>
                  </w:pPr>
                  <w:r w:rsidRPr="004109B1">
                    <w:rPr>
                      <w:rFonts w:eastAsiaTheme="minorEastAsia"/>
                      <w:b/>
                      <w:sz w:val="20"/>
                      <w:szCs w:val="20"/>
                    </w:rPr>
                    <w:t>19.</w:t>
                  </w:r>
                </w:p>
              </w:tc>
              <w:tc>
                <w:tcPr>
                  <w:tcW w:w="5387" w:type="dxa"/>
                </w:tcPr>
                <w:p w:rsidR="004109B1" w:rsidRPr="004109B1" w:rsidRDefault="004109B1" w:rsidP="004109B1">
                  <w:pPr>
                    <w:contextualSpacing/>
                    <w:jc w:val="both"/>
                    <w:rPr>
                      <w:rFonts w:eastAsiaTheme="minorEastAsia"/>
                    </w:rPr>
                  </w:pPr>
                  <w:r w:rsidRPr="004109B1">
                    <w:rPr>
                      <w:rFonts w:eastAsiaTheme="minorEastAsia"/>
                    </w:rPr>
                    <w:t>Ginekoloģiskie spoguļi</w:t>
                  </w:r>
                </w:p>
              </w:tc>
            </w:tr>
            <w:tr w:rsidR="004109B1" w:rsidRPr="004109B1" w:rsidTr="0005726C">
              <w:tc>
                <w:tcPr>
                  <w:tcW w:w="1951" w:type="dxa"/>
                  <w:vAlign w:val="center"/>
                </w:tcPr>
                <w:p w:rsidR="004109B1" w:rsidRPr="004109B1" w:rsidRDefault="004109B1" w:rsidP="004109B1">
                  <w:pPr>
                    <w:contextualSpacing/>
                    <w:rPr>
                      <w:rFonts w:eastAsiaTheme="minorEastAsia"/>
                      <w:b/>
                      <w:sz w:val="20"/>
                      <w:szCs w:val="20"/>
                    </w:rPr>
                  </w:pPr>
                  <w:r w:rsidRPr="004109B1">
                    <w:rPr>
                      <w:rFonts w:eastAsiaTheme="minorEastAsia"/>
                      <w:b/>
                      <w:sz w:val="20"/>
                      <w:szCs w:val="20"/>
                    </w:rPr>
                    <w:t>36.</w:t>
                  </w:r>
                </w:p>
              </w:tc>
              <w:tc>
                <w:tcPr>
                  <w:tcW w:w="5387" w:type="dxa"/>
                </w:tcPr>
                <w:p w:rsidR="004109B1" w:rsidRPr="004109B1" w:rsidRDefault="004109B1" w:rsidP="004109B1">
                  <w:pPr>
                    <w:contextualSpacing/>
                    <w:jc w:val="both"/>
                    <w:rPr>
                      <w:rFonts w:eastAsiaTheme="minorEastAsia"/>
                    </w:rPr>
                  </w:pPr>
                  <w:r w:rsidRPr="004109B1">
                    <w:rPr>
                      <w:rFonts w:eastAsiaTheme="minorEastAsia"/>
                    </w:rPr>
                    <w:t>Pārsējs izgulējumu kopšanai</w:t>
                  </w:r>
                </w:p>
              </w:tc>
            </w:tr>
          </w:tbl>
          <w:p w:rsidR="004109B1" w:rsidRDefault="004109B1" w:rsidP="00142B49">
            <w:pPr>
              <w:spacing w:line="276" w:lineRule="auto"/>
              <w:jc w:val="both"/>
            </w:pPr>
            <w:r w:rsidRPr="004109B1">
              <w:rPr>
                <w:rFonts w:eastAsiaTheme="minorEastAsia"/>
                <w:lang w:eastAsia="lv-LV"/>
              </w:rPr>
              <w:t xml:space="preserve">jo </w:t>
            </w:r>
            <w:r w:rsidRPr="004109B1">
              <w:t>iesniegti Atklāta konkursa nolikumā noteiktajām prasībām neatbilstoši piedāvājumi</w:t>
            </w:r>
            <w:r>
              <w:t>.</w:t>
            </w:r>
          </w:p>
          <w:p w:rsidR="004109B1" w:rsidRPr="005F207C" w:rsidRDefault="004109B1" w:rsidP="00142B49">
            <w:pPr>
              <w:spacing w:line="276" w:lineRule="auto"/>
              <w:jc w:val="both"/>
            </w:pPr>
          </w:p>
        </w:tc>
      </w:tr>
      <w:tr w:rsidR="007A5D60" w:rsidRPr="005F207C" w:rsidTr="00F3762C">
        <w:tc>
          <w:tcPr>
            <w:tcW w:w="2549" w:type="dxa"/>
          </w:tcPr>
          <w:p w:rsidR="007A5D60" w:rsidRPr="005F207C" w:rsidRDefault="009738C4" w:rsidP="007A5D60">
            <w:pPr>
              <w:jc w:val="both"/>
            </w:pPr>
            <w:r>
              <w:t>P</w:t>
            </w:r>
            <w:r w:rsidR="00F95323" w:rsidRPr="005F207C">
              <w:t>iedāvājuma noraidīšanas pamatojums, ja iepirkuma komisija atzinusi piedāvājumu par nepamatoti lētu</w:t>
            </w:r>
          </w:p>
        </w:tc>
        <w:tc>
          <w:tcPr>
            <w:tcW w:w="7883" w:type="dxa"/>
          </w:tcPr>
          <w:p w:rsidR="007A5D60" w:rsidRPr="005F207C" w:rsidRDefault="004F40F8" w:rsidP="004F40F8">
            <w:pPr>
              <w:jc w:val="both"/>
            </w:pPr>
            <w:r>
              <w:t>NAV</w:t>
            </w:r>
          </w:p>
        </w:tc>
      </w:tr>
      <w:tr w:rsidR="007A5D60" w:rsidRPr="005F207C" w:rsidTr="00F3762C">
        <w:tc>
          <w:tcPr>
            <w:tcW w:w="2549" w:type="dxa"/>
          </w:tcPr>
          <w:p w:rsidR="007A5D60" w:rsidRPr="005F207C" w:rsidRDefault="009738C4" w:rsidP="007A5D60">
            <w:pPr>
              <w:jc w:val="both"/>
            </w:pPr>
            <w:r>
              <w:t>I</w:t>
            </w:r>
            <w:r w:rsidR="00F95323" w:rsidRPr="005F207C">
              <w:t>emesli, kuru dēļ netiek paredzēta elektroniska piedāvājumu iesniegšana, ja pasūtītājam ir pienākums izmantot piedāvājumu saņemšanai elektroniskās informācijas sistēmas</w:t>
            </w:r>
          </w:p>
        </w:tc>
        <w:tc>
          <w:tcPr>
            <w:tcW w:w="7883" w:type="dxa"/>
          </w:tcPr>
          <w:p w:rsidR="007A5D60" w:rsidRPr="005F207C" w:rsidRDefault="009738C4" w:rsidP="007A5D60">
            <w:pPr>
              <w:jc w:val="both"/>
            </w:pPr>
            <w:r>
              <w:t>NAV</w:t>
            </w:r>
          </w:p>
        </w:tc>
      </w:tr>
      <w:tr w:rsidR="007A5D60" w:rsidRPr="005F207C" w:rsidTr="00E06C69">
        <w:trPr>
          <w:trHeight w:val="1360"/>
        </w:trPr>
        <w:tc>
          <w:tcPr>
            <w:tcW w:w="2549" w:type="dxa"/>
          </w:tcPr>
          <w:p w:rsidR="007A5D60" w:rsidRPr="005F207C" w:rsidRDefault="0009682C" w:rsidP="007A5D60">
            <w:pPr>
              <w:jc w:val="both"/>
            </w:pPr>
            <w:r>
              <w:t>K</w:t>
            </w:r>
            <w:r w:rsidR="00F95323" w:rsidRPr="005F207C">
              <w:t>onstatētie interešu konflikti un pasākumi, kas veikti to novēršanai</w:t>
            </w:r>
          </w:p>
        </w:tc>
        <w:tc>
          <w:tcPr>
            <w:tcW w:w="7883" w:type="dxa"/>
          </w:tcPr>
          <w:p w:rsidR="007A5D60" w:rsidRPr="005F207C" w:rsidRDefault="009738C4" w:rsidP="007A5D60">
            <w:pPr>
              <w:jc w:val="both"/>
            </w:pPr>
            <w:r>
              <w:t>NAV</w:t>
            </w:r>
          </w:p>
        </w:tc>
      </w:tr>
    </w:tbl>
    <w:p w:rsidR="007A5D60" w:rsidRDefault="007A5D60" w:rsidP="007A5D60">
      <w:pPr>
        <w:jc w:val="both"/>
      </w:pPr>
    </w:p>
    <w:p w:rsidR="004109B1" w:rsidRDefault="004109B1" w:rsidP="007A5D60">
      <w:pPr>
        <w:jc w:val="both"/>
      </w:pPr>
      <w:r>
        <w:t xml:space="preserve">Pielikumā: </w:t>
      </w:r>
      <w:r w:rsidR="008911E9">
        <w:t>Finanšu kopsavilkums uz 40 lpp.</w:t>
      </w:r>
    </w:p>
    <w:p w:rsidR="004109B1" w:rsidRDefault="004109B1" w:rsidP="007A5D60">
      <w:pPr>
        <w:jc w:val="both"/>
      </w:pPr>
    </w:p>
    <w:p w:rsidR="004109B1" w:rsidRDefault="004109B1" w:rsidP="007A5D60">
      <w:pPr>
        <w:jc w:val="both"/>
      </w:pPr>
    </w:p>
    <w:p w:rsidR="00E06C69" w:rsidRDefault="004109B1" w:rsidP="001A40BB">
      <w:pPr>
        <w:ind w:firstLine="284"/>
        <w:jc w:val="both"/>
      </w:pPr>
      <w:r>
        <w:t>08.01.2018.</w:t>
      </w:r>
    </w:p>
    <w:p w:rsidR="00E06C69" w:rsidRDefault="00E06C69" w:rsidP="007A5D60">
      <w:pPr>
        <w:jc w:val="both"/>
      </w:pPr>
    </w:p>
    <w:tbl>
      <w:tblPr>
        <w:tblStyle w:val="TableGrid9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9"/>
        <w:gridCol w:w="5173"/>
      </w:tblGrid>
      <w:tr w:rsidR="00937BA3" w:rsidRPr="00937BA3" w:rsidTr="00A514A2">
        <w:trPr>
          <w:trHeight w:val="1175"/>
        </w:trPr>
        <w:tc>
          <w:tcPr>
            <w:tcW w:w="4579" w:type="dxa"/>
          </w:tcPr>
          <w:p w:rsidR="00937BA3" w:rsidRPr="00937BA3" w:rsidRDefault="00A514A2" w:rsidP="00937BA3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Iepirkuma komisijas loceklis:</w:t>
            </w:r>
            <w:bookmarkStart w:id="0" w:name="_GoBack"/>
            <w:bookmarkEnd w:id="0"/>
          </w:p>
        </w:tc>
        <w:tc>
          <w:tcPr>
            <w:tcW w:w="5173" w:type="dxa"/>
          </w:tcPr>
          <w:p w:rsidR="00937BA3" w:rsidRPr="005E4E98" w:rsidRDefault="00A514A2" w:rsidP="005E4E98">
            <w:pPr>
              <w:jc w:val="right"/>
              <w:rPr>
                <w:rFonts w:eastAsiaTheme="minorHAnsi"/>
              </w:rPr>
            </w:pPr>
            <w:r>
              <w:rPr>
                <w:rFonts w:eastAsiaTheme="minorHAnsi"/>
              </w:rPr>
              <w:t>E.Brokāns</w:t>
            </w:r>
          </w:p>
        </w:tc>
      </w:tr>
    </w:tbl>
    <w:p w:rsidR="00937BA3" w:rsidRPr="005F207C" w:rsidRDefault="00937BA3" w:rsidP="00A514A2">
      <w:pPr>
        <w:jc w:val="both"/>
      </w:pPr>
    </w:p>
    <w:sectPr w:rsidR="00937BA3" w:rsidRPr="005F207C" w:rsidSect="007A5D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BaltRim">
    <w:altName w:val="Arial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49DA"/>
    <w:multiLevelType w:val="hybridMultilevel"/>
    <w:tmpl w:val="37F04FD6"/>
    <w:lvl w:ilvl="0" w:tplc="21F4E9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2353E"/>
    <w:multiLevelType w:val="multilevel"/>
    <w:tmpl w:val="40F0A920"/>
    <w:lvl w:ilvl="0">
      <w:start w:val="7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0D733809"/>
    <w:multiLevelType w:val="hybridMultilevel"/>
    <w:tmpl w:val="F5BCEDA4"/>
    <w:lvl w:ilvl="0" w:tplc="0426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757" w:hanging="360"/>
      </w:pPr>
    </w:lvl>
    <w:lvl w:ilvl="2" w:tplc="0426001B" w:tentative="1">
      <w:start w:val="1"/>
      <w:numFmt w:val="lowerRoman"/>
      <w:lvlText w:val="%3."/>
      <w:lvlJc w:val="right"/>
      <w:pPr>
        <w:ind w:left="2477" w:hanging="180"/>
      </w:pPr>
    </w:lvl>
    <w:lvl w:ilvl="3" w:tplc="0426000F" w:tentative="1">
      <w:start w:val="1"/>
      <w:numFmt w:val="decimal"/>
      <w:lvlText w:val="%4."/>
      <w:lvlJc w:val="left"/>
      <w:pPr>
        <w:ind w:left="3197" w:hanging="360"/>
      </w:pPr>
    </w:lvl>
    <w:lvl w:ilvl="4" w:tplc="04260019" w:tentative="1">
      <w:start w:val="1"/>
      <w:numFmt w:val="lowerLetter"/>
      <w:lvlText w:val="%5."/>
      <w:lvlJc w:val="left"/>
      <w:pPr>
        <w:ind w:left="3917" w:hanging="360"/>
      </w:pPr>
    </w:lvl>
    <w:lvl w:ilvl="5" w:tplc="0426001B" w:tentative="1">
      <w:start w:val="1"/>
      <w:numFmt w:val="lowerRoman"/>
      <w:lvlText w:val="%6."/>
      <w:lvlJc w:val="right"/>
      <w:pPr>
        <w:ind w:left="4637" w:hanging="180"/>
      </w:pPr>
    </w:lvl>
    <w:lvl w:ilvl="6" w:tplc="0426000F" w:tentative="1">
      <w:start w:val="1"/>
      <w:numFmt w:val="decimal"/>
      <w:lvlText w:val="%7."/>
      <w:lvlJc w:val="left"/>
      <w:pPr>
        <w:ind w:left="5357" w:hanging="360"/>
      </w:pPr>
    </w:lvl>
    <w:lvl w:ilvl="7" w:tplc="04260019" w:tentative="1">
      <w:start w:val="1"/>
      <w:numFmt w:val="lowerLetter"/>
      <w:lvlText w:val="%8."/>
      <w:lvlJc w:val="left"/>
      <w:pPr>
        <w:ind w:left="6077" w:hanging="360"/>
      </w:pPr>
    </w:lvl>
    <w:lvl w:ilvl="8" w:tplc="0426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0F171AFC"/>
    <w:multiLevelType w:val="hybridMultilevel"/>
    <w:tmpl w:val="CE96FE0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DF6B34"/>
    <w:multiLevelType w:val="multilevel"/>
    <w:tmpl w:val="FC841788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338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6894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8454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037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1934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3854" w:hanging="1800"/>
      </w:pPr>
      <w:rPr>
        <w:rFonts w:eastAsiaTheme="minorHAnsi" w:hint="default"/>
      </w:rPr>
    </w:lvl>
  </w:abstractNum>
  <w:abstractNum w:abstractNumId="5">
    <w:nsid w:val="11A75793"/>
    <w:multiLevelType w:val="hybridMultilevel"/>
    <w:tmpl w:val="45A4240A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E247F81"/>
    <w:multiLevelType w:val="hybridMultilevel"/>
    <w:tmpl w:val="5502B2D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B546D"/>
    <w:multiLevelType w:val="hybridMultilevel"/>
    <w:tmpl w:val="F156066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lde Tauriņa-Lasmane">
    <w15:presenceInfo w15:providerId="AD" w15:userId="S-1-5-21-2175615622-2548476462-3512547720-60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D60"/>
    <w:rsid w:val="0005107C"/>
    <w:rsid w:val="0009682C"/>
    <w:rsid w:val="000B0644"/>
    <w:rsid w:val="000B7B64"/>
    <w:rsid w:val="000D5042"/>
    <w:rsid w:val="000E1AB4"/>
    <w:rsid w:val="001321B9"/>
    <w:rsid w:val="00142B49"/>
    <w:rsid w:val="001630F3"/>
    <w:rsid w:val="001807FC"/>
    <w:rsid w:val="00184D56"/>
    <w:rsid w:val="0019371B"/>
    <w:rsid w:val="001A40BB"/>
    <w:rsid w:val="001C7DCB"/>
    <w:rsid w:val="001D2D50"/>
    <w:rsid w:val="00253145"/>
    <w:rsid w:val="00296220"/>
    <w:rsid w:val="002F1C21"/>
    <w:rsid w:val="0030168C"/>
    <w:rsid w:val="0030463E"/>
    <w:rsid w:val="003149FA"/>
    <w:rsid w:val="00337F85"/>
    <w:rsid w:val="00343203"/>
    <w:rsid w:val="00372A21"/>
    <w:rsid w:val="003F5B2B"/>
    <w:rsid w:val="004109B1"/>
    <w:rsid w:val="004134E1"/>
    <w:rsid w:val="004A02C8"/>
    <w:rsid w:val="004A33B2"/>
    <w:rsid w:val="004F40F8"/>
    <w:rsid w:val="005E45C6"/>
    <w:rsid w:val="005E4E98"/>
    <w:rsid w:val="005E5DE0"/>
    <w:rsid w:val="005F207C"/>
    <w:rsid w:val="00625C5E"/>
    <w:rsid w:val="0063169E"/>
    <w:rsid w:val="00657D7F"/>
    <w:rsid w:val="00661A7D"/>
    <w:rsid w:val="006746D9"/>
    <w:rsid w:val="00692A49"/>
    <w:rsid w:val="006A12EA"/>
    <w:rsid w:val="006E5A88"/>
    <w:rsid w:val="006F3325"/>
    <w:rsid w:val="0071716F"/>
    <w:rsid w:val="007450EC"/>
    <w:rsid w:val="00750D86"/>
    <w:rsid w:val="00753A8E"/>
    <w:rsid w:val="00757F5C"/>
    <w:rsid w:val="00772B78"/>
    <w:rsid w:val="00793DBE"/>
    <w:rsid w:val="007A2BE4"/>
    <w:rsid w:val="007A5D60"/>
    <w:rsid w:val="007B1395"/>
    <w:rsid w:val="007F5960"/>
    <w:rsid w:val="00821B60"/>
    <w:rsid w:val="00842A81"/>
    <w:rsid w:val="00853213"/>
    <w:rsid w:val="008739B4"/>
    <w:rsid w:val="008911E9"/>
    <w:rsid w:val="008B22EE"/>
    <w:rsid w:val="008C1489"/>
    <w:rsid w:val="00937BA3"/>
    <w:rsid w:val="0094460A"/>
    <w:rsid w:val="009738C4"/>
    <w:rsid w:val="00A514A2"/>
    <w:rsid w:val="00AD0D65"/>
    <w:rsid w:val="00B04EBD"/>
    <w:rsid w:val="00B2399F"/>
    <w:rsid w:val="00BC205E"/>
    <w:rsid w:val="00BD489B"/>
    <w:rsid w:val="00C162A1"/>
    <w:rsid w:val="00C44FDA"/>
    <w:rsid w:val="00CB22D4"/>
    <w:rsid w:val="00CE0EBE"/>
    <w:rsid w:val="00D23D9D"/>
    <w:rsid w:val="00D321FB"/>
    <w:rsid w:val="00D71C10"/>
    <w:rsid w:val="00D84465"/>
    <w:rsid w:val="00D92428"/>
    <w:rsid w:val="00DA3604"/>
    <w:rsid w:val="00DA4D3E"/>
    <w:rsid w:val="00DE51B3"/>
    <w:rsid w:val="00E06C69"/>
    <w:rsid w:val="00E377FE"/>
    <w:rsid w:val="00F20814"/>
    <w:rsid w:val="00F3762C"/>
    <w:rsid w:val="00F9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D6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4134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34E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34E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34E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34E1"/>
    <w:pPr>
      <w:spacing w:before="240" w:after="60"/>
      <w:outlineLvl w:val="6"/>
    </w:pPr>
    <w:rPr>
      <w:rFonts w:ascii="Calibri" w:hAnsi="Calibri"/>
    </w:rPr>
  </w:style>
  <w:style w:type="paragraph" w:styleId="Heading9">
    <w:name w:val="heading 9"/>
    <w:basedOn w:val="Normal"/>
    <w:next w:val="Normal"/>
    <w:link w:val="Heading9Char"/>
    <w:qFormat/>
    <w:rsid w:val="004134E1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8"/>
    </w:pPr>
    <w:rPr>
      <w:rFonts w:ascii="Arial BaltRim" w:hAnsi="Arial BaltRim"/>
      <w:b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rakstarindkopa">
    <w:name w:val="Saraksta rindkopa"/>
    <w:basedOn w:val="Normal"/>
    <w:qFormat/>
    <w:rsid w:val="004134E1"/>
    <w:pPr>
      <w:ind w:left="720"/>
    </w:pPr>
    <w:rPr>
      <w:rFonts w:ascii="Calibri" w:hAnsi="Calibri"/>
      <w:sz w:val="22"/>
      <w:szCs w:val="22"/>
      <w:lang w:eastAsia="lv-LV"/>
    </w:rPr>
  </w:style>
  <w:style w:type="character" w:customStyle="1" w:styleId="Heading1Char">
    <w:name w:val="Heading 1 Char"/>
    <w:aliases w:val="H1 Char"/>
    <w:link w:val="Heading1"/>
    <w:rsid w:val="004134E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4134E1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rsid w:val="004134E1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4134E1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4134E1"/>
    <w:rPr>
      <w:rFonts w:eastAsia="Times New Roman"/>
      <w:sz w:val="24"/>
      <w:szCs w:val="24"/>
    </w:rPr>
  </w:style>
  <w:style w:type="character" w:customStyle="1" w:styleId="Heading9Char">
    <w:name w:val="Heading 9 Char"/>
    <w:link w:val="Heading9"/>
    <w:rsid w:val="004134E1"/>
    <w:rPr>
      <w:rFonts w:ascii="Arial BaltRim" w:eastAsia="Times New Roman" w:hAnsi="Arial BaltRim"/>
      <w:b/>
      <w:sz w:val="24"/>
    </w:rPr>
  </w:style>
  <w:style w:type="paragraph" w:styleId="Title">
    <w:name w:val="Title"/>
    <w:basedOn w:val="Normal"/>
    <w:link w:val="TitleChar"/>
    <w:qFormat/>
    <w:rsid w:val="004134E1"/>
    <w:pPr>
      <w:jc w:val="center"/>
    </w:pPr>
    <w:rPr>
      <w:sz w:val="28"/>
      <w:szCs w:val="20"/>
      <w:lang w:eastAsia="lv-LV"/>
    </w:rPr>
  </w:style>
  <w:style w:type="character" w:customStyle="1" w:styleId="TitleChar">
    <w:name w:val="Title Char"/>
    <w:link w:val="Title"/>
    <w:rsid w:val="004134E1"/>
    <w:rPr>
      <w:rFonts w:ascii="Times New Roman" w:eastAsia="Times New Roman" w:hAnsi="Times New Roman"/>
      <w:sz w:val="28"/>
      <w:lang w:eastAsia="lv-LV"/>
    </w:rPr>
  </w:style>
  <w:style w:type="paragraph" w:styleId="NoSpacing">
    <w:name w:val="No Spacing"/>
    <w:uiPriority w:val="1"/>
    <w:qFormat/>
    <w:rsid w:val="004134E1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aliases w:val="Saistīto dokumentu saraksts"/>
    <w:basedOn w:val="Normal"/>
    <w:link w:val="ListParagraphChar"/>
    <w:uiPriority w:val="34"/>
    <w:qFormat/>
    <w:rsid w:val="004134E1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aliases w:val="Saistīto dokumentu saraksts Char"/>
    <w:link w:val="ListParagraph"/>
    <w:uiPriority w:val="34"/>
    <w:rsid w:val="004134E1"/>
    <w:rPr>
      <w:sz w:val="22"/>
      <w:szCs w:val="22"/>
    </w:rPr>
  </w:style>
  <w:style w:type="table" w:styleId="TableGrid">
    <w:name w:val="Table Grid"/>
    <w:basedOn w:val="TableNormal"/>
    <w:uiPriority w:val="59"/>
    <w:rsid w:val="007A5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A5D60"/>
  </w:style>
  <w:style w:type="character" w:styleId="Hyperlink">
    <w:name w:val="Hyperlink"/>
    <w:basedOn w:val="DefaultParagraphFont"/>
    <w:uiPriority w:val="99"/>
    <w:unhideWhenUsed/>
    <w:rsid w:val="007A5D60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37BA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937BA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968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8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82C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8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82C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8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2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D6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4134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34E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34E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34E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34E1"/>
    <w:pPr>
      <w:spacing w:before="240" w:after="60"/>
      <w:outlineLvl w:val="6"/>
    </w:pPr>
    <w:rPr>
      <w:rFonts w:ascii="Calibri" w:hAnsi="Calibri"/>
    </w:rPr>
  </w:style>
  <w:style w:type="paragraph" w:styleId="Heading9">
    <w:name w:val="heading 9"/>
    <w:basedOn w:val="Normal"/>
    <w:next w:val="Normal"/>
    <w:link w:val="Heading9Char"/>
    <w:qFormat/>
    <w:rsid w:val="004134E1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8"/>
    </w:pPr>
    <w:rPr>
      <w:rFonts w:ascii="Arial BaltRim" w:hAnsi="Arial BaltRim"/>
      <w:b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rakstarindkopa">
    <w:name w:val="Saraksta rindkopa"/>
    <w:basedOn w:val="Normal"/>
    <w:qFormat/>
    <w:rsid w:val="004134E1"/>
    <w:pPr>
      <w:ind w:left="720"/>
    </w:pPr>
    <w:rPr>
      <w:rFonts w:ascii="Calibri" w:hAnsi="Calibri"/>
      <w:sz w:val="22"/>
      <w:szCs w:val="22"/>
      <w:lang w:eastAsia="lv-LV"/>
    </w:rPr>
  </w:style>
  <w:style w:type="character" w:customStyle="1" w:styleId="Heading1Char">
    <w:name w:val="Heading 1 Char"/>
    <w:aliases w:val="H1 Char"/>
    <w:link w:val="Heading1"/>
    <w:rsid w:val="004134E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4134E1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rsid w:val="004134E1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4134E1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4134E1"/>
    <w:rPr>
      <w:rFonts w:eastAsia="Times New Roman"/>
      <w:sz w:val="24"/>
      <w:szCs w:val="24"/>
    </w:rPr>
  </w:style>
  <w:style w:type="character" w:customStyle="1" w:styleId="Heading9Char">
    <w:name w:val="Heading 9 Char"/>
    <w:link w:val="Heading9"/>
    <w:rsid w:val="004134E1"/>
    <w:rPr>
      <w:rFonts w:ascii="Arial BaltRim" w:eastAsia="Times New Roman" w:hAnsi="Arial BaltRim"/>
      <w:b/>
      <w:sz w:val="24"/>
    </w:rPr>
  </w:style>
  <w:style w:type="paragraph" w:styleId="Title">
    <w:name w:val="Title"/>
    <w:basedOn w:val="Normal"/>
    <w:link w:val="TitleChar"/>
    <w:qFormat/>
    <w:rsid w:val="004134E1"/>
    <w:pPr>
      <w:jc w:val="center"/>
    </w:pPr>
    <w:rPr>
      <w:sz w:val="28"/>
      <w:szCs w:val="20"/>
      <w:lang w:eastAsia="lv-LV"/>
    </w:rPr>
  </w:style>
  <w:style w:type="character" w:customStyle="1" w:styleId="TitleChar">
    <w:name w:val="Title Char"/>
    <w:link w:val="Title"/>
    <w:rsid w:val="004134E1"/>
    <w:rPr>
      <w:rFonts w:ascii="Times New Roman" w:eastAsia="Times New Roman" w:hAnsi="Times New Roman"/>
      <w:sz w:val="28"/>
      <w:lang w:eastAsia="lv-LV"/>
    </w:rPr>
  </w:style>
  <w:style w:type="paragraph" w:styleId="NoSpacing">
    <w:name w:val="No Spacing"/>
    <w:uiPriority w:val="1"/>
    <w:qFormat/>
    <w:rsid w:val="004134E1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aliases w:val="Saistīto dokumentu saraksts"/>
    <w:basedOn w:val="Normal"/>
    <w:link w:val="ListParagraphChar"/>
    <w:uiPriority w:val="34"/>
    <w:qFormat/>
    <w:rsid w:val="004134E1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aliases w:val="Saistīto dokumentu saraksts Char"/>
    <w:link w:val="ListParagraph"/>
    <w:uiPriority w:val="34"/>
    <w:rsid w:val="004134E1"/>
    <w:rPr>
      <w:sz w:val="22"/>
      <w:szCs w:val="22"/>
    </w:rPr>
  </w:style>
  <w:style w:type="table" w:styleId="TableGrid">
    <w:name w:val="Table Grid"/>
    <w:basedOn w:val="TableNormal"/>
    <w:uiPriority w:val="59"/>
    <w:rsid w:val="007A5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A5D60"/>
  </w:style>
  <w:style w:type="character" w:styleId="Hyperlink">
    <w:name w:val="Hyperlink"/>
    <w:basedOn w:val="DefaultParagraphFont"/>
    <w:uiPriority w:val="99"/>
    <w:unhideWhenUsed/>
    <w:rsid w:val="007A5D60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37BA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937BA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968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8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82C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8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82C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8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2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9FC81-CF6E-403E-9CE8-A9BC9EF0E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6026</Words>
  <Characters>3435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Brokāns</dc:creator>
  <cp:lastModifiedBy>Edgars Brokāns</cp:lastModifiedBy>
  <cp:revision>7</cp:revision>
  <cp:lastPrinted>2017-12-29T13:35:00Z</cp:lastPrinted>
  <dcterms:created xsi:type="dcterms:W3CDTF">2017-12-20T08:31:00Z</dcterms:created>
  <dcterms:modified xsi:type="dcterms:W3CDTF">2018-01-08T08:15:00Z</dcterms:modified>
</cp:coreProperties>
</file>