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6D" w:rsidRPr="005717EC" w:rsidRDefault="00E0306D" w:rsidP="00B8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>Paziņojums par pieņemto lēmumu iepirkumā</w:t>
      </w:r>
    </w:p>
    <w:p w:rsidR="003C4CFB" w:rsidRPr="003C4CFB" w:rsidRDefault="003C4CFB" w:rsidP="003C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CFB">
        <w:rPr>
          <w:rFonts w:ascii="Times New Roman" w:hAnsi="Times New Roman" w:cs="Times New Roman"/>
          <w:b/>
          <w:sz w:val="24"/>
          <w:szCs w:val="24"/>
        </w:rPr>
        <w:t>„</w:t>
      </w:r>
      <w:r w:rsidR="00D07301">
        <w:rPr>
          <w:rFonts w:ascii="Times New Roman" w:hAnsi="Times New Roman" w:cs="Times New Roman"/>
          <w:b/>
          <w:sz w:val="24"/>
          <w:szCs w:val="24"/>
        </w:rPr>
        <w:t>Drukas iekārtu apkope</w:t>
      </w:r>
      <w:r w:rsidRPr="003C4CFB">
        <w:rPr>
          <w:rFonts w:ascii="Times New Roman" w:hAnsi="Times New Roman" w:cs="Times New Roman"/>
          <w:b/>
          <w:sz w:val="24"/>
          <w:szCs w:val="24"/>
        </w:rPr>
        <w:t xml:space="preserve">”, </w:t>
      </w:r>
    </w:p>
    <w:p w:rsidR="003C4CFB" w:rsidRPr="003C4CFB" w:rsidRDefault="00D07301" w:rsidP="003C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identifikācijas Nr. RSU-2018/31</w:t>
      </w:r>
      <w:r w:rsidR="003C4CFB" w:rsidRPr="003C4CFB">
        <w:rPr>
          <w:rFonts w:ascii="Times New Roman" w:hAnsi="Times New Roman" w:cs="Times New Roman"/>
          <w:b/>
          <w:sz w:val="24"/>
          <w:szCs w:val="24"/>
        </w:rPr>
        <w:t>/AFN-MI</w:t>
      </w:r>
    </w:p>
    <w:p w:rsidR="00E0306D" w:rsidRPr="005717EC" w:rsidRDefault="00E0306D" w:rsidP="00E03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06D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Pasūtītājs: </w:t>
      </w:r>
      <w:r w:rsidRPr="005717EC">
        <w:rPr>
          <w:rFonts w:ascii="Times New Roman" w:hAnsi="Times New Roman" w:cs="Times New Roman"/>
          <w:sz w:val="24"/>
          <w:szCs w:val="24"/>
        </w:rPr>
        <w:t>Rīgas Stradiņa universitāte, Dzirciema 16, Rīga, LV-1007</w:t>
      </w:r>
    </w:p>
    <w:p w:rsidR="005717EC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Lēmuma pieņemšanas datums: </w:t>
      </w:r>
      <w:r w:rsidR="003C4CFB">
        <w:rPr>
          <w:rFonts w:ascii="Times New Roman" w:hAnsi="Times New Roman" w:cs="Times New Roman"/>
          <w:sz w:val="24"/>
          <w:szCs w:val="24"/>
        </w:rPr>
        <w:t>05.06</w:t>
      </w:r>
      <w:r w:rsidR="005717EC" w:rsidRPr="005717EC">
        <w:rPr>
          <w:rFonts w:ascii="Times New Roman" w:hAnsi="Times New Roman" w:cs="Times New Roman"/>
          <w:sz w:val="24"/>
          <w:szCs w:val="24"/>
        </w:rPr>
        <w:t>.2018.</w:t>
      </w:r>
      <w:r w:rsidRPr="005717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CFB" w:rsidRDefault="005717EC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nosaukums: </w:t>
      </w:r>
      <w:r w:rsidR="00D07301">
        <w:rPr>
          <w:rFonts w:ascii="Times New Roman" w:hAnsi="Times New Roman" w:cs="Times New Roman"/>
          <w:sz w:val="24"/>
          <w:szCs w:val="24"/>
        </w:rPr>
        <w:t>Drukas iekārtu apkope</w:t>
      </w:r>
      <w:r w:rsidR="003C4CFB" w:rsidRPr="003C4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7EC" w:rsidRPr="005717EC" w:rsidRDefault="005717EC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Identifikācijas numurs: </w:t>
      </w:r>
      <w:r w:rsidRPr="005717EC">
        <w:rPr>
          <w:rFonts w:ascii="Times New Roman" w:hAnsi="Times New Roman" w:cs="Times New Roman"/>
          <w:sz w:val="24"/>
          <w:szCs w:val="24"/>
        </w:rPr>
        <w:t>RSU-2018/</w:t>
      </w:r>
      <w:r w:rsidR="003C4CFB">
        <w:rPr>
          <w:rFonts w:ascii="Times New Roman" w:hAnsi="Times New Roman" w:cs="Times New Roman"/>
          <w:sz w:val="24"/>
          <w:szCs w:val="24"/>
        </w:rPr>
        <w:t>3</w:t>
      </w:r>
      <w:r w:rsidR="00D07301">
        <w:rPr>
          <w:rFonts w:ascii="Times New Roman" w:hAnsi="Times New Roman" w:cs="Times New Roman"/>
          <w:sz w:val="24"/>
          <w:szCs w:val="24"/>
        </w:rPr>
        <w:t>1</w:t>
      </w:r>
      <w:r w:rsidRPr="005717EC">
        <w:rPr>
          <w:rFonts w:ascii="Times New Roman" w:hAnsi="Times New Roman" w:cs="Times New Roman"/>
          <w:sz w:val="24"/>
          <w:szCs w:val="24"/>
        </w:rPr>
        <w:t>/AFN-MI</w:t>
      </w:r>
    </w:p>
    <w:p w:rsidR="00E0306D" w:rsidRPr="005717EC" w:rsidRDefault="00E0306D" w:rsidP="00B87B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procedūras veids: </w:t>
      </w:r>
      <w:r w:rsidRPr="005717EC">
        <w:rPr>
          <w:rFonts w:ascii="Times New Roman" w:hAnsi="Times New Roman" w:cs="Times New Roman"/>
          <w:sz w:val="24"/>
          <w:szCs w:val="24"/>
        </w:rPr>
        <w:t>iepirkums Publisko iepirkumu likuma  9.panta kārtībā.</w:t>
      </w:r>
    </w:p>
    <w:p w:rsidR="003C4CFB" w:rsidRPr="00BE14FD" w:rsidRDefault="00E0306D" w:rsidP="003C4CFB">
      <w:pPr>
        <w:spacing w:after="0" w:line="360" w:lineRule="auto"/>
        <w:jc w:val="both"/>
      </w:pPr>
      <w:r w:rsidRPr="005717EC">
        <w:rPr>
          <w:rFonts w:ascii="Times New Roman" w:hAnsi="Times New Roman" w:cs="Times New Roman"/>
          <w:b/>
          <w:sz w:val="24"/>
          <w:szCs w:val="24"/>
        </w:rPr>
        <w:t xml:space="preserve">Iepirkuma priekšmets: </w:t>
      </w:r>
      <w:r w:rsidR="00D07301" w:rsidRPr="00D07301">
        <w:rPr>
          <w:rFonts w:ascii="Times New Roman" w:hAnsi="Times New Roman" w:cs="Times New Roman"/>
          <w:sz w:val="24"/>
          <w:szCs w:val="24"/>
        </w:rPr>
        <w:t>drukas iekārtu apkope saskaņā ar Iepirkuma nolikuma tehniskajā specifikācijā noteiktajām prasībām</w:t>
      </w:r>
    </w:p>
    <w:p w:rsidR="00D07301" w:rsidRDefault="005717EC" w:rsidP="00D07301">
      <w:pPr>
        <w:pStyle w:val="Heading3"/>
        <w:numPr>
          <w:ilvl w:val="0"/>
          <w:numId w:val="0"/>
        </w:numPr>
        <w:ind w:left="993" w:hanging="992"/>
      </w:pPr>
      <w:r w:rsidRPr="005717EC">
        <w:rPr>
          <w:b/>
        </w:rPr>
        <w:t>CPV kods:</w:t>
      </w:r>
      <w:r w:rsidRPr="005717EC">
        <w:t xml:space="preserve"> </w:t>
      </w:r>
      <w:r w:rsidR="00D07301" w:rsidRPr="00F40A24">
        <w:t>50310000-1 (Biroja tehnikas tehniskā apkope un remonts).</w:t>
      </w:r>
    </w:p>
    <w:p w:rsidR="00E0306D" w:rsidRPr="00D07301" w:rsidRDefault="00E0306D" w:rsidP="00D07301">
      <w:pPr>
        <w:pStyle w:val="Heading3"/>
        <w:numPr>
          <w:ilvl w:val="0"/>
          <w:numId w:val="0"/>
        </w:numPr>
        <w:ind w:left="993" w:hanging="992"/>
      </w:pPr>
      <w:r w:rsidRPr="005717EC">
        <w:rPr>
          <w:b/>
        </w:rPr>
        <w:t>Pretendent</w:t>
      </w:r>
      <w:r w:rsidR="005717EC" w:rsidRPr="005717EC">
        <w:rPr>
          <w:b/>
        </w:rPr>
        <w:t>i, kas iesnieguši piedāvājumus un to piedāvātās cenas EUR bez PVN: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69"/>
        <w:gridCol w:w="1559"/>
        <w:gridCol w:w="1418"/>
        <w:gridCol w:w="1637"/>
      </w:tblGrid>
      <w:tr w:rsidR="00D07301" w:rsidRPr="005106FD" w:rsidTr="00D07301">
        <w:tc>
          <w:tcPr>
            <w:tcW w:w="596" w:type="dxa"/>
            <w:vMerge w:val="restart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106FD">
              <w:rPr>
                <w:rFonts w:ascii="Times New Roman" w:hAnsi="Times New Roman"/>
                <w:b/>
                <w:szCs w:val="24"/>
              </w:rPr>
              <w:t>Nr.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106FD">
              <w:rPr>
                <w:rFonts w:ascii="Times New Roman" w:hAnsi="Times New Roman"/>
                <w:b/>
                <w:szCs w:val="24"/>
              </w:rPr>
              <w:t>p.k.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106FD">
              <w:rPr>
                <w:rFonts w:ascii="Times New Roman" w:hAnsi="Times New Roman"/>
                <w:b/>
                <w:szCs w:val="24"/>
              </w:rPr>
              <w:t>Pretendenta nosaukums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106FD">
              <w:rPr>
                <w:rFonts w:ascii="Times New Roman" w:hAnsi="Times New Roman"/>
                <w:b/>
                <w:szCs w:val="24"/>
              </w:rPr>
              <w:t>Piedāvājuma iesniegšanas laiks</w:t>
            </w:r>
          </w:p>
        </w:tc>
        <w:tc>
          <w:tcPr>
            <w:tcW w:w="3055" w:type="dxa"/>
            <w:gridSpan w:val="2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5106FD">
              <w:rPr>
                <w:rFonts w:ascii="Times New Roman" w:hAnsi="Times New Roman"/>
                <w:b/>
                <w:szCs w:val="24"/>
              </w:rPr>
              <w:t>Piedāvātā cena EUR bez PVN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D07301" w:rsidRPr="005106FD" w:rsidTr="00D07301">
        <w:tc>
          <w:tcPr>
            <w:tcW w:w="596" w:type="dxa"/>
            <w:vMerge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1.daļa</w:t>
            </w:r>
          </w:p>
        </w:tc>
        <w:tc>
          <w:tcPr>
            <w:tcW w:w="1637" w:type="dxa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2.daļa</w:t>
            </w:r>
          </w:p>
        </w:tc>
      </w:tr>
      <w:tr w:rsidR="00D07301" w:rsidRPr="005106FD" w:rsidTr="00D07301">
        <w:tc>
          <w:tcPr>
            <w:tcW w:w="596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D07301" w:rsidRPr="00F94FD9" w:rsidRDefault="00D07301" w:rsidP="002B7CB0">
            <w:pPr>
              <w:spacing w:before="60" w:after="60"/>
              <w:ind w:right="-1"/>
              <w:rPr>
                <w:rFonts w:ascii="Times New Roman" w:hAnsi="Times New Roman"/>
                <w:b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SIA “</w:t>
            </w:r>
            <w:r>
              <w:rPr>
                <w:rFonts w:ascii="Times New Roman" w:hAnsi="Times New Roman"/>
                <w:szCs w:val="24"/>
              </w:rPr>
              <w:t>BRONET</w:t>
            </w:r>
            <w:r w:rsidRPr="005106FD">
              <w:rPr>
                <w:rFonts w:ascii="Times New Roman" w:hAnsi="Times New Roman"/>
                <w:szCs w:val="24"/>
              </w:rPr>
              <w:t>”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106FD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 xml:space="preserve">. Nr. </w:t>
            </w:r>
            <w:r>
              <w:rPr>
                <w:rFonts w:ascii="Times New Roman" w:hAnsi="Times New Roman"/>
                <w:szCs w:val="24"/>
              </w:rPr>
              <w:t>40103878435</w:t>
            </w:r>
          </w:p>
        </w:tc>
        <w:tc>
          <w:tcPr>
            <w:tcW w:w="1559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  <w:r w:rsidRPr="005106FD">
              <w:rPr>
                <w:rFonts w:ascii="Times New Roman" w:hAnsi="Times New Roman"/>
                <w:szCs w:val="24"/>
              </w:rPr>
              <w:t xml:space="preserve">.2018. plkst. </w:t>
            </w:r>
            <w:r>
              <w:rPr>
                <w:rFonts w:ascii="Times New Roman" w:hAnsi="Times New Roman"/>
                <w:szCs w:val="24"/>
              </w:rPr>
              <w:t>13.50</w:t>
            </w:r>
          </w:p>
        </w:tc>
        <w:tc>
          <w:tcPr>
            <w:tcW w:w="1418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37" w:type="dxa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07301" w:rsidRPr="005106FD" w:rsidTr="00D07301">
        <w:tc>
          <w:tcPr>
            <w:tcW w:w="596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SIA “</w:t>
            </w:r>
            <w:r>
              <w:rPr>
                <w:rFonts w:ascii="Times New Roman" w:hAnsi="Times New Roman"/>
                <w:szCs w:val="24"/>
              </w:rPr>
              <w:t>CRC</w:t>
            </w:r>
            <w:r w:rsidRPr="005106FD">
              <w:rPr>
                <w:rFonts w:ascii="Times New Roman" w:hAnsi="Times New Roman"/>
                <w:szCs w:val="24"/>
              </w:rPr>
              <w:t xml:space="preserve">”, </w:t>
            </w:r>
            <w:proofErr w:type="spellStart"/>
            <w:r w:rsidRPr="005106FD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>. Nr. 5000</w:t>
            </w:r>
            <w:r>
              <w:rPr>
                <w:rFonts w:ascii="Times New Roman" w:hAnsi="Times New Roman"/>
                <w:szCs w:val="24"/>
              </w:rPr>
              <w:t>3174381</w:t>
            </w:r>
          </w:p>
        </w:tc>
        <w:tc>
          <w:tcPr>
            <w:tcW w:w="1559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  <w:r w:rsidRPr="005106FD">
              <w:rPr>
                <w:rFonts w:ascii="Times New Roman" w:hAnsi="Times New Roman"/>
                <w:szCs w:val="24"/>
              </w:rPr>
              <w:t xml:space="preserve">.2018. plkst. </w:t>
            </w:r>
            <w:r>
              <w:rPr>
                <w:rFonts w:ascii="Times New Roman" w:hAnsi="Times New Roman"/>
                <w:szCs w:val="24"/>
              </w:rPr>
              <w:t>16.16</w:t>
            </w:r>
          </w:p>
        </w:tc>
        <w:tc>
          <w:tcPr>
            <w:tcW w:w="1418" w:type="dxa"/>
            <w:shd w:val="clear" w:color="auto" w:fill="auto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37" w:type="dxa"/>
          </w:tcPr>
          <w:p w:rsidR="00D07301" w:rsidRPr="005106FD" w:rsidRDefault="00D07301" w:rsidP="002B7CB0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0,34</w:t>
            </w:r>
          </w:p>
        </w:tc>
      </w:tr>
      <w:tr w:rsidR="00D07301" w:rsidRPr="005106FD" w:rsidTr="00D07301">
        <w:tc>
          <w:tcPr>
            <w:tcW w:w="596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SIA “</w:t>
            </w:r>
            <w:r>
              <w:rPr>
                <w:rFonts w:ascii="Times New Roman" w:hAnsi="Times New Roman"/>
                <w:szCs w:val="24"/>
              </w:rPr>
              <w:t>RF Serviss</w:t>
            </w:r>
            <w:r w:rsidRPr="005106FD">
              <w:rPr>
                <w:rFonts w:ascii="Times New Roman" w:hAnsi="Times New Roman"/>
                <w:szCs w:val="24"/>
              </w:rPr>
              <w:t xml:space="preserve">”, </w:t>
            </w:r>
            <w:proofErr w:type="spellStart"/>
            <w:r w:rsidRPr="005106FD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 xml:space="preserve">. Nr. </w:t>
            </w:r>
            <w:r>
              <w:rPr>
                <w:rFonts w:ascii="Times New Roman" w:hAnsi="Times New Roman"/>
                <w:szCs w:val="24"/>
              </w:rPr>
              <w:t>40103171074</w:t>
            </w:r>
            <w:r w:rsidRPr="005106F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28.05.</w:t>
            </w:r>
            <w:r w:rsidRPr="005106FD">
              <w:rPr>
                <w:rFonts w:ascii="Times New Roman" w:hAnsi="Times New Roman"/>
                <w:szCs w:val="24"/>
              </w:rPr>
              <w:t xml:space="preserve">2018. plkst. </w:t>
            </w:r>
            <w:r>
              <w:rPr>
                <w:rFonts w:ascii="Times New Roman" w:hAnsi="Times New Roman"/>
                <w:szCs w:val="24"/>
              </w:rPr>
              <w:t>11.22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0,02</w:t>
            </w:r>
          </w:p>
        </w:tc>
        <w:tc>
          <w:tcPr>
            <w:tcW w:w="1637" w:type="dxa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0,76</w:t>
            </w:r>
          </w:p>
        </w:tc>
      </w:tr>
      <w:tr w:rsidR="00D07301" w:rsidRPr="005106FD" w:rsidTr="00D07301">
        <w:tc>
          <w:tcPr>
            <w:tcW w:w="596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 w:rsidRPr="005106FD">
              <w:rPr>
                <w:rFonts w:ascii="Times New Roman" w:hAnsi="Times New Roman"/>
                <w:szCs w:val="24"/>
              </w:rPr>
              <w:t>SIA  “</w:t>
            </w:r>
            <w:r>
              <w:rPr>
                <w:rFonts w:ascii="Times New Roman" w:hAnsi="Times New Roman"/>
                <w:szCs w:val="24"/>
              </w:rPr>
              <w:t>IBS Biroja Tehnika</w:t>
            </w:r>
            <w:r w:rsidRPr="005106FD">
              <w:rPr>
                <w:rFonts w:ascii="Times New Roman" w:hAnsi="Times New Roman"/>
                <w:szCs w:val="24"/>
              </w:rPr>
              <w:t xml:space="preserve">”, </w:t>
            </w:r>
            <w:proofErr w:type="spellStart"/>
            <w:r w:rsidRPr="005106FD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 xml:space="preserve">. Nr. </w:t>
            </w:r>
            <w:r w:rsidRPr="00F94FD9">
              <w:rPr>
                <w:rFonts w:ascii="Times New Roman" w:hAnsi="Times New Roman"/>
                <w:szCs w:val="24"/>
              </w:rPr>
              <w:t>40103901500</w:t>
            </w:r>
          </w:p>
        </w:tc>
        <w:tc>
          <w:tcPr>
            <w:tcW w:w="155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28.05</w:t>
            </w:r>
            <w:r w:rsidRPr="005106FD">
              <w:rPr>
                <w:rFonts w:ascii="Times New Roman" w:hAnsi="Times New Roman"/>
                <w:szCs w:val="24"/>
              </w:rPr>
              <w:t xml:space="preserve">.2018. plkst. </w:t>
            </w:r>
            <w:r>
              <w:rPr>
                <w:rFonts w:ascii="Times New Roman" w:hAnsi="Times New Roman"/>
                <w:szCs w:val="24"/>
              </w:rPr>
              <w:t>11.31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0,02</w:t>
            </w:r>
          </w:p>
        </w:tc>
        <w:tc>
          <w:tcPr>
            <w:tcW w:w="1637" w:type="dxa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0,28</w:t>
            </w:r>
          </w:p>
        </w:tc>
      </w:tr>
      <w:tr w:rsidR="00D07301" w:rsidRPr="005106FD" w:rsidTr="00D07301">
        <w:tc>
          <w:tcPr>
            <w:tcW w:w="596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</w:t>
            </w:r>
            <w:r w:rsidRPr="005106FD">
              <w:rPr>
                <w:rFonts w:ascii="Times New Roman" w:hAnsi="Times New Roman"/>
                <w:szCs w:val="24"/>
              </w:rPr>
              <w:t>IA “</w:t>
            </w:r>
            <w:proofErr w:type="spellStart"/>
            <w:r>
              <w:rPr>
                <w:rFonts w:ascii="Times New Roman" w:hAnsi="Times New Roman"/>
                <w:szCs w:val="24"/>
              </w:rPr>
              <w:t>Rolling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 xml:space="preserve">”, </w:t>
            </w:r>
            <w:proofErr w:type="spellStart"/>
            <w:r w:rsidRPr="005106FD">
              <w:rPr>
                <w:rFonts w:ascii="Times New Roman" w:hAnsi="Times New Roman"/>
                <w:szCs w:val="24"/>
              </w:rPr>
              <w:t>reģ</w:t>
            </w:r>
            <w:proofErr w:type="spellEnd"/>
            <w:r w:rsidRPr="005106FD">
              <w:rPr>
                <w:rFonts w:ascii="Times New Roman" w:hAnsi="Times New Roman"/>
                <w:szCs w:val="24"/>
              </w:rPr>
              <w:t xml:space="preserve">. Nr. </w:t>
            </w:r>
            <w:r>
              <w:rPr>
                <w:rFonts w:ascii="Times New Roman" w:hAnsi="Times New Roman"/>
                <w:szCs w:val="24"/>
              </w:rPr>
              <w:t>40003607010</w:t>
            </w:r>
          </w:p>
        </w:tc>
        <w:tc>
          <w:tcPr>
            <w:tcW w:w="1559" w:type="dxa"/>
            <w:shd w:val="clear" w:color="auto" w:fill="auto"/>
          </w:tcPr>
          <w:p w:rsidR="00D07301" w:rsidRPr="005106FD" w:rsidRDefault="00D07301" w:rsidP="00D07301">
            <w:pPr>
              <w:spacing w:before="60" w:after="60"/>
              <w:ind w:right="-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28.05</w:t>
            </w:r>
            <w:r w:rsidRPr="005106FD">
              <w:rPr>
                <w:rFonts w:ascii="Times New Roman" w:hAnsi="Times New Roman"/>
                <w:szCs w:val="24"/>
              </w:rPr>
              <w:t xml:space="preserve">.2018. plkst. </w:t>
            </w:r>
            <w:r>
              <w:rPr>
                <w:rFonts w:ascii="Times New Roman" w:hAnsi="Times New Roman"/>
                <w:szCs w:val="24"/>
              </w:rPr>
              <w:t>12.13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0,02</w:t>
            </w:r>
          </w:p>
        </w:tc>
        <w:tc>
          <w:tcPr>
            <w:tcW w:w="1637" w:type="dxa"/>
            <w:vAlign w:val="center"/>
          </w:tcPr>
          <w:p w:rsidR="00D07301" w:rsidRPr="00EC6FEF" w:rsidRDefault="00D07301" w:rsidP="00D07301">
            <w:pPr>
              <w:jc w:val="center"/>
              <w:rPr>
                <w:rFonts w:ascii="Times New Roman" w:hAnsi="Times New Roman"/>
                <w:szCs w:val="24"/>
              </w:rPr>
            </w:pPr>
            <w:r w:rsidRPr="00EC6FEF">
              <w:rPr>
                <w:rFonts w:ascii="Times New Roman" w:hAnsi="Times New Roman"/>
                <w:szCs w:val="24"/>
              </w:rPr>
              <w:t>0,29</w:t>
            </w:r>
          </w:p>
        </w:tc>
      </w:tr>
    </w:tbl>
    <w:p w:rsidR="005717EC" w:rsidRPr="005717EC" w:rsidRDefault="005717EC" w:rsidP="00B87B18">
      <w:pPr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17EC">
        <w:rPr>
          <w:rFonts w:ascii="Times New Roman" w:hAnsi="Times New Roman" w:cs="Times New Roman"/>
          <w:b/>
          <w:sz w:val="24"/>
          <w:szCs w:val="24"/>
        </w:rPr>
        <w:t>Komisija vienbalsīgi nolemj:</w:t>
      </w:r>
    </w:p>
    <w:p w:rsidR="00D07301" w:rsidRDefault="00D07301" w:rsidP="00D0730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 xml:space="preserve">Iepirkuma priekšmeta 1.daļā līguma slēgšanas tiesības piešķirt SIA “BRONET” par drukas iekārtu apkopi uz 24 (divdesmit četriem) mēnešiem par kopējo summu 15 000,00 EUR (piecpadsmit tūkstoši </w:t>
      </w:r>
      <w:proofErr w:type="spellStart"/>
      <w:r w:rsidRPr="00D07301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D07301">
        <w:rPr>
          <w:rFonts w:ascii="Times New Roman" w:hAnsi="Times New Roman" w:cs="Times New Roman"/>
          <w:sz w:val="24"/>
          <w:szCs w:val="24"/>
        </w:rPr>
        <w:t xml:space="preserve"> un 00 centi) bez PVN.</w:t>
      </w:r>
    </w:p>
    <w:p w:rsidR="00D07301" w:rsidRPr="00D07301" w:rsidRDefault="00D07301" w:rsidP="00D0730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301">
        <w:rPr>
          <w:rFonts w:ascii="Times New Roman" w:hAnsi="Times New Roman" w:cs="Times New Roman"/>
          <w:sz w:val="24"/>
          <w:szCs w:val="24"/>
        </w:rPr>
        <w:t>Iepirkuma priekšmeta 2.daļu pārtraukt, jo ir nepieciešams veikt būtiskus grozījumus Iepirkuma nolikumā un tehniskajā specifikācijā.</w:t>
      </w:r>
    </w:p>
    <w:p w:rsidR="00B87B18" w:rsidRDefault="00B87B18" w:rsidP="00E0306D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B87B18" w:rsidRDefault="00B87B18" w:rsidP="00E0306D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E0306D" w:rsidRPr="00B87B18" w:rsidRDefault="00E0306D" w:rsidP="00E0306D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B87B18">
        <w:rPr>
          <w:rFonts w:ascii="Times New Roman" w:hAnsi="Times New Roman" w:cs="Times New Roman"/>
          <w:sz w:val="18"/>
          <w:szCs w:val="24"/>
        </w:rPr>
        <w:t>Paziņojumu sagatavoja:</w:t>
      </w:r>
    </w:p>
    <w:p w:rsidR="00E0306D" w:rsidRPr="00B87B18" w:rsidRDefault="005717EC" w:rsidP="00E0306D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r w:rsidRPr="00B87B18">
        <w:rPr>
          <w:rFonts w:ascii="Times New Roman" w:hAnsi="Times New Roman" w:cs="Times New Roman"/>
          <w:iCs/>
          <w:sz w:val="18"/>
          <w:szCs w:val="24"/>
        </w:rPr>
        <w:t>Brūvere</w:t>
      </w:r>
      <w:r w:rsidR="00E0306D" w:rsidRPr="00B87B18">
        <w:rPr>
          <w:rFonts w:ascii="Times New Roman" w:hAnsi="Times New Roman" w:cs="Times New Roman"/>
          <w:iCs/>
          <w:sz w:val="18"/>
          <w:szCs w:val="24"/>
        </w:rPr>
        <w:t>, 67</w:t>
      </w:r>
      <w:r w:rsidRPr="00B87B18">
        <w:rPr>
          <w:rFonts w:ascii="Times New Roman" w:hAnsi="Times New Roman" w:cs="Times New Roman"/>
          <w:iCs/>
          <w:sz w:val="18"/>
          <w:szCs w:val="24"/>
        </w:rPr>
        <w:t>060860</w:t>
      </w:r>
    </w:p>
    <w:p w:rsidR="00BA2152" w:rsidRPr="00B87B18" w:rsidRDefault="00D07301" w:rsidP="005717EC"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24"/>
        </w:rPr>
      </w:pPr>
      <w:hyperlink r:id="rId7" w:history="1">
        <w:r w:rsidR="005717EC" w:rsidRPr="00B87B18">
          <w:rPr>
            <w:rStyle w:val="Hyperlink"/>
            <w:rFonts w:ascii="Times New Roman" w:hAnsi="Times New Roman" w:cs="Times New Roman"/>
            <w:iCs/>
            <w:sz w:val="18"/>
            <w:szCs w:val="24"/>
          </w:rPr>
          <w:t>sanita.bruvere@rsu.lv</w:t>
        </w:r>
      </w:hyperlink>
      <w:r w:rsidR="00E0306D" w:rsidRPr="00B87B18">
        <w:rPr>
          <w:rFonts w:ascii="Times New Roman" w:hAnsi="Times New Roman" w:cs="Times New Roman"/>
          <w:iCs/>
          <w:sz w:val="18"/>
          <w:szCs w:val="24"/>
        </w:rPr>
        <w:t xml:space="preserve"> </w:t>
      </w:r>
    </w:p>
    <w:sectPr w:rsidR="00BA2152" w:rsidRPr="00B87B18" w:rsidSect="005717EC">
      <w:head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83" w:rsidRDefault="00B41FE6">
      <w:pPr>
        <w:spacing w:after="0" w:line="240" w:lineRule="auto"/>
      </w:pPr>
      <w:r>
        <w:separator/>
      </w:r>
    </w:p>
  </w:endnote>
  <w:endnote w:type="continuationSeparator" w:id="0">
    <w:p w:rsidR="00506483" w:rsidRDefault="00B4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83" w:rsidRDefault="00B41FE6">
      <w:pPr>
        <w:spacing w:after="0" w:line="240" w:lineRule="auto"/>
      </w:pPr>
      <w:r>
        <w:separator/>
      </w:r>
    </w:p>
  </w:footnote>
  <w:footnote w:type="continuationSeparator" w:id="0">
    <w:p w:rsidR="00506483" w:rsidRDefault="00B4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B1" w:rsidRDefault="00D07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8BEC51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 w15:restartNumberingAfterBreak="0">
    <w:nsid w:val="08450165"/>
    <w:multiLevelType w:val="multilevel"/>
    <w:tmpl w:val="64DCD2E8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61016"/>
    <w:multiLevelType w:val="multilevel"/>
    <w:tmpl w:val="F2323108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F171AFC"/>
    <w:multiLevelType w:val="multilevel"/>
    <w:tmpl w:val="595818C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52E32"/>
    <w:multiLevelType w:val="hybridMultilevel"/>
    <w:tmpl w:val="32381388"/>
    <w:lvl w:ilvl="0" w:tplc="94DAFA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E43"/>
    <w:multiLevelType w:val="hybridMultilevel"/>
    <w:tmpl w:val="BA421AF0"/>
    <w:lvl w:ilvl="0" w:tplc="BB86A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099E"/>
    <w:multiLevelType w:val="hybridMultilevel"/>
    <w:tmpl w:val="DAE420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3CE7"/>
    <w:multiLevelType w:val="multilevel"/>
    <w:tmpl w:val="5AF01A42"/>
    <w:lvl w:ilvl="0">
      <w:start w:val="1"/>
      <w:numFmt w:val="decimal"/>
      <w:pStyle w:val="Pielikums"/>
      <w:suff w:val="space"/>
      <w:lvlText w:val="Pielikums Nr. %1"/>
      <w:lvlJc w:val="left"/>
      <w:pPr>
        <w:ind w:left="893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</w:abstractNum>
  <w:abstractNum w:abstractNumId="8" w15:restartNumberingAfterBreak="0">
    <w:nsid w:val="73FE1C0B"/>
    <w:multiLevelType w:val="hybridMultilevel"/>
    <w:tmpl w:val="1874981E"/>
    <w:lvl w:ilvl="0" w:tplc="987EA7C0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6D"/>
    <w:rsid w:val="00114AFA"/>
    <w:rsid w:val="00240AFF"/>
    <w:rsid w:val="002F5BBD"/>
    <w:rsid w:val="003C4CFB"/>
    <w:rsid w:val="00454533"/>
    <w:rsid w:val="00506483"/>
    <w:rsid w:val="005074A3"/>
    <w:rsid w:val="005717EC"/>
    <w:rsid w:val="0092397A"/>
    <w:rsid w:val="00A15FE6"/>
    <w:rsid w:val="00B41FE6"/>
    <w:rsid w:val="00B87B18"/>
    <w:rsid w:val="00D07301"/>
    <w:rsid w:val="00E0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F4A5"/>
  <w15:docId w15:val="{B8354199-8546-4582-AC5B-B8530E46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6D"/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9"/>
    <w:qFormat/>
    <w:rsid w:val="005717EC"/>
    <w:pPr>
      <w:keepNext/>
      <w:numPr>
        <w:numId w:val="5"/>
      </w:num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paragraph" w:styleId="Heading2">
    <w:name w:val="heading 2"/>
    <w:basedOn w:val="Normal"/>
    <w:link w:val="Heading2Char"/>
    <w:autoRedefine/>
    <w:uiPriority w:val="99"/>
    <w:qFormat/>
    <w:rsid w:val="005717EC"/>
    <w:pPr>
      <w:numPr>
        <w:ilvl w:val="1"/>
        <w:numId w:val="5"/>
      </w:numPr>
      <w:spacing w:before="120" w:after="6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Heading2"/>
    <w:link w:val="Heading3Char"/>
    <w:autoRedefine/>
    <w:uiPriority w:val="99"/>
    <w:qFormat/>
    <w:rsid w:val="005717EC"/>
    <w:pPr>
      <w:numPr>
        <w:ilvl w:val="2"/>
      </w:numPr>
      <w:tabs>
        <w:tab w:val="clear" w:pos="1407"/>
      </w:tabs>
      <w:spacing w:before="60"/>
      <w:ind w:left="993" w:hanging="992"/>
      <w:outlineLvl w:val="2"/>
    </w:pPr>
    <w:rPr>
      <w:b w:val="0"/>
    </w:rPr>
  </w:style>
  <w:style w:type="paragraph" w:styleId="Heading4">
    <w:name w:val="heading 4"/>
    <w:basedOn w:val="Normal"/>
    <w:link w:val="Heading4Char"/>
    <w:autoRedefine/>
    <w:uiPriority w:val="99"/>
    <w:qFormat/>
    <w:rsid w:val="005717EC"/>
    <w:pPr>
      <w:numPr>
        <w:ilvl w:val="3"/>
        <w:numId w:val="5"/>
      </w:numPr>
      <w:tabs>
        <w:tab w:val="clear" w:pos="1134"/>
      </w:tabs>
      <w:spacing w:after="0" w:line="240" w:lineRule="auto"/>
      <w:ind w:left="1843" w:hanging="850"/>
      <w:outlineLvl w:val="3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PPS_Bullet"/>
    <w:basedOn w:val="Normal"/>
    <w:link w:val="ListParagraphChar"/>
    <w:uiPriority w:val="34"/>
    <w:qFormat/>
    <w:rsid w:val="00E03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06D"/>
    <w:rPr>
      <w:color w:val="0000FF" w:themeColor="hyperlink"/>
      <w:u w:val="single"/>
    </w:rPr>
  </w:style>
  <w:style w:type="character" w:customStyle="1" w:styleId="ListParagraphChar">
    <w:name w:val="List Paragraph Char"/>
    <w:aliases w:val="Saistīto dokumentu saraksts Char,PPS_Bullet Char"/>
    <w:link w:val="ListParagraph"/>
    <w:uiPriority w:val="34"/>
    <w:rsid w:val="00E0306D"/>
  </w:style>
  <w:style w:type="table" w:styleId="TableGrid">
    <w:name w:val="Table Grid"/>
    <w:basedOn w:val="TableNormal"/>
    <w:uiPriority w:val="59"/>
    <w:rsid w:val="00E030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9"/>
    <w:rsid w:val="005717EC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5717EC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5717EC"/>
    <w:rPr>
      <w:rFonts w:ascii="Times New Roman" w:eastAsia="Times New Roman" w:hAnsi="Times New Roman" w:cs="Times New Roman"/>
      <w:bCs/>
      <w:sz w:val="24"/>
      <w:szCs w:val="24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5717EC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paragraph" w:customStyle="1" w:styleId="Style1111">
    <w:name w:val="Style1.1.1.1."/>
    <w:basedOn w:val="Normal"/>
    <w:qFormat/>
    <w:rsid w:val="003C4CFB"/>
    <w:pPr>
      <w:numPr>
        <w:ilvl w:val="3"/>
        <w:numId w:val="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ielikums">
    <w:name w:val="Pielikums"/>
    <w:basedOn w:val="Normal"/>
    <w:qFormat/>
    <w:rsid w:val="00D07301"/>
    <w:pPr>
      <w:widowControl w:val="0"/>
      <w:numPr>
        <w:numId w:val="8"/>
      </w:numPr>
      <w:suppressAutoHyphens/>
      <w:autoSpaceDN w:val="0"/>
      <w:spacing w:after="0" w:line="240" w:lineRule="auto"/>
      <w:ind w:left="6946" w:right="-1"/>
      <w:jc w:val="right"/>
      <w:textAlignment w:val="baseline"/>
    </w:pPr>
    <w:rPr>
      <w:rFonts w:ascii="Times New Roman" w:eastAsia="Calibri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ita.bruvere@r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Stūre</dc:creator>
  <cp:lastModifiedBy>Sanita Brūvere</cp:lastModifiedBy>
  <cp:revision>2</cp:revision>
  <cp:lastPrinted>2017-12-14T08:35:00Z</cp:lastPrinted>
  <dcterms:created xsi:type="dcterms:W3CDTF">2018-06-06T06:00:00Z</dcterms:created>
  <dcterms:modified xsi:type="dcterms:W3CDTF">2018-06-06T06:00:00Z</dcterms:modified>
</cp:coreProperties>
</file>