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40" w:rsidRDefault="00EF7440" w:rsidP="001C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91E" w:rsidRDefault="00C511DE" w:rsidP="001C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A9">
        <w:rPr>
          <w:rFonts w:ascii="Times New Roman" w:hAnsi="Times New Roman"/>
          <w:sz w:val="24"/>
          <w:szCs w:val="24"/>
        </w:rPr>
        <w:t>LĒMUMS</w:t>
      </w:r>
      <w:r w:rsidR="0039791E" w:rsidRPr="003207A9">
        <w:rPr>
          <w:rFonts w:ascii="Times New Roman" w:hAnsi="Times New Roman"/>
          <w:sz w:val="24"/>
          <w:szCs w:val="24"/>
        </w:rPr>
        <w:t xml:space="preserve"> </w:t>
      </w:r>
    </w:p>
    <w:p w:rsidR="000F4ED0" w:rsidRPr="006A3BBB" w:rsidRDefault="000F4ED0" w:rsidP="001C7E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11DE" w:rsidRPr="003207A9" w:rsidRDefault="00C511DE" w:rsidP="001C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A9">
        <w:rPr>
          <w:rFonts w:ascii="Times New Roman" w:hAnsi="Times New Roman"/>
          <w:sz w:val="24"/>
          <w:szCs w:val="24"/>
        </w:rPr>
        <w:t>Rīgā</w:t>
      </w:r>
    </w:p>
    <w:p w:rsidR="00C511DE" w:rsidRPr="003207A9" w:rsidRDefault="008E38FF" w:rsidP="004E7D51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</w:t>
      </w:r>
      <w:r w:rsidR="00CE20D0" w:rsidRPr="003207A9">
        <w:rPr>
          <w:rFonts w:ascii="Times New Roman" w:hAnsi="Times New Roman"/>
          <w:sz w:val="24"/>
          <w:szCs w:val="24"/>
        </w:rPr>
        <w:t>.201</w:t>
      </w:r>
      <w:r w:rsidR="00CC1F4B">
        <w:rPr>
          <w:rFonts w:ascii="Times New Roman" w:hAnsi="Times New Roman"/>
          <w:sz w:val="24"/>
          <w:szCs w:val="24"/>
        </w:rPr>
        <w:t>8</w:t>
      </w:r>
      <w:r w:rsidR="00C75B3D">
        <w:rPr>
          <w:rFonts w:ascii="Times New Roman" w:hAnsi="Times New Roman"/>
          <w:sz w:val="24"/>
          <w:szCs w:val="24"/>
        </w:rPr>
        <w:t>.</w:t>
      </w:r>
      <w:r w:rsidR="00EB196F" w:rsidRPr="003207A9">
        <w:rPr>
          <w:rFonts w:ascii="Times New Roman" w:hAnsi="Times New Roman"/>
          <w:sz w:val="24"/>
          <w:szCs w:val="24"/>
        </w:rPr>
        <w:tab/>
      </w:r>
      <w:r w:rsidR="00134285">
        <w:rPr>
          <w:rFonts w:ascii="Times New Roman" w:hAnsi="Times New Roman"/>
          <w:sz w:val="24"/>
          <w:szCs w:val="24"/>
        </w:rPr>
        <w:t>53-7</w:t>
      </w:r>
      <w:r w:rsidR="00145EE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</w:p>
    <w:p w:rsidR="000F4ED0" w:rsidRPr="003207A9" w:rsidRDefault="000F4ED0" w:rsidP="004E7D51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1DE" w:rsidRPr="003207A9" w:rsidRDefault="00A467CA" w:rsidP="001C7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A9">
        <w:rPr>
          <w:rFonts w:ascii="Times New Roman" w:hAnsi="Times New Roman"/>
          <w:sz w:val="24"/>
          <w:szCs w:val="24"/>
        </w:rPr>
        <w:t>Rīgas Stradiņa universitātes (turpmāk – RSU) iepirkuma komisija (turpmāk - komisija): izveidot</w:t>
      </w:r>
      <w:r w:rsidR="00E73AE4" w:rsidRPr="003207A9">
        <w:rPr>
          <w:rFonts w:ascii="Times New Roman" w:hAnsi="Times New Roman"/>
          <w:sz w:val="24"/>
          <w:szCs w:val="24"/>
        </w:rPr>
        <w:t>a p</w:t>
      </w:r>
      <w:r w:rsidR="009D1B1E" w:rsidRPr="003207A9">
        <w:rPr>
          <w:rFonts w:ascii="Times New Roman" w:hAnsi="Times New Roman"/>
          <w:sz w:val="24"/>
          <w:szCs w:val="24"/>
        </w:rPr>
        <w:t xml:space="preserve">amatojoties uz </w:t>
      </w:r>
      <w:r w:rsidR="0006653B" w:rsidRPr="003207A9">
        <w:rPr>
          <w:rFonts w:ascii="Times New Roman" w:hAnsi="Times New Roman"/>
          <w:sz w:val="24"/>
          <w:szCs w:val="24"/>
        </w:rPr>
        <w:t xml:space="preserve">rektora </w:t>
      </w:r>
      <w:proofErr w:type="gramStart"/>
      <w:r w:rsidR="00C75B3D">
        <w:rPr>
          <w:rFonts w:ascii="Times New Roman" w:hAnsi="Times New Roman"/>
          <w:sz w:val="24"/>
          <w:szCs w:val="24"/>
        </w:rPr>
        <w:t>201</w:t>
      </w:r>
      <w:r w:rsidR="00CC1F4B">
        <w:rPr>
          <w:rFonts w:ascii="Times New Roman" w:hAnsi="Times New Roman"/>
          <w:sz w:val="24"/>
          <w:szCs w:val="24"/>
        </w:rPr>
        <w:t>8</w:t>
      </w:r>
      <w:r w:rsidR="00C75B3D">
        <w:rPr>
          <w:rFonts w:ascii="Times New Roman" w:hAnsi="Times New Roman"/>
          <w:sz w:val="24"/>
          <w:szCs w:val="24"/>
        </w:rPr>
        <w:t>.gada</w:t>
      </w:r>
      <w:proofErr w:type="gramEnd"/>
      <w:r w:rsidR="0006653B" w:rsidRPr="003207A9">
        <w:rPr>
          <w:rFonts w:ascii="Times New Roman" w:hAnsi="Times New Roman"/>
          <w:sz w:val="24"/>
          <w:szCs w:val="24"/>
        </w:rPr>
        <w:t xml:space="preserve"> </w:t>
      </w:r>
      <w:r w:rsidR="000F0981">
        <w:rPr>
          <w:rFonts w:ascii="Times New Roman" w:hAnsi="Times New Roman"/>
          <w:sz w:val="24"/>
          <w:szCs w:val="24"/>
        </w:rPr>
        <w:t>22</w:t>
      </w:r>
      <w:r w:rsidR="00091F7C">
        <w:rPr>
          <w:rFonts w:ascii="Times New Roman" w:hAnsi="Times New Roman"/>
          <w:sz w:val="24"/>
          <w:szCs w:val="24"/>
        </w:rPr>
        <w:t>.</w:t>
      </w:r>
      <w:r w:rsidR="000F0981">
        <w:rPr>
          <w:rFonts w:ascii="Times New Roman" w:hAnsi="Times New Roman"/>
          <w:sz w:val="24"/>
          <w:szCs w:val="24"/>
        </w:rPr>
        <w:t>janvāra</w:t>
      </w:r>
      <w:r w:rsidR="0006653B" w:rsidRPr="003207A9">
        <w:rPr>
          <w:rFonts w:ascii="Times New Roman" w:hAnsi="Times New Roman"/>
          <w:sz w:val="24"/>
          <w:szCs w:val="24"/>
        </w:rPr>
        <w:t xml:space="preserve"> rīkojumu </w:t>
      </w:r>
      <w:r w:rsidR="00145EE2">
        <w:rPr>
          <w:rFonts w:ascii="Times New Roman" w:hAnsi="Times New Roman"/>
          <w:sz w:val="24"/>
          <w:szCs w:val="24"/>
        </w:rPr>
        <w:t>Nr. 5-1/</w:t>
      </w:r>
      <w:r w:rsidR="000F0981">
        <w:rPr>
          <w:rFonts w:ascii="Times New Roman" w:hAnsi="Times New Roman"/>
          <w:sz w:val="24"/>
          <w:szCs w:val="24"/>
        </w:rPr>
        <w:t>17</w:t>
      </w:r>
      <w:r w:rsidR="00CC1F4B">
        <w:rPr>
          <w:rFonts w:ascii="Times New Roman" w:hAnsi="Times New Roman"/>
          <w:sz w:val="24"/>
          <w:szCs w:val="24"/>
        </w:rPr>
        <w:t>/2018</w:t>
      </w:r>
      <w:r w:rsidR="0006653B" w:rsidRPr="003207A9">
        <w:rPr>
          <w:rFonts w:ascii="Times New Roman" w:hAnsi="Times New Roman"/>
          <w:sz w:val="24"/>
          <w:szCs w:val="24"/>
        </w:rPr>
        <w:t xml:space="preserve"> „Par pastāvīgās paplašinātās iepirkuma komisijas izveidi” un</w:t>
      </w:r>
      <w:r w:rsidR="0006653B" w:rsidRPr="003207A9">
        <w:rPr>
          <w:rFonts w:ascii="Times New Roman" w:hAnsi="Times New Roman"/>
          <w:bCs/>
          <w:sz w:val="24"/>
          <w:szCs w:val="24"/>
        </w:rPr>
        <w:t xml:space="preserve"> lēmumu par sašaurinātās iepirkuma komisijas sastāvu</w:t>
      </w:r>
      <w:r w:rsidRPr="003207A9">
        <w:rPr>
          <w:rFonts w:ascii="Times New Roman" w:hAnsi="Times New Roman"/>
          <w:sz w:val="24"/>
          <w:szCs w:val="24"/>
        </w:rPr>
        <w:t>, šādā sastāvā:</w:t>
      </w:r>
    </w:p>
    <w:p w:rsidR="0006653B" w:rsidRPr="003207A9" w:rsidRDefault="0006653B" w:rsidP="0006653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E24FEC" w:rsidRPr="0006653B" w:rsidTr="00811E68">
        <w:tc>
          <w:tcPr>
            <w:tcW w:w="4395" w:type="dxa"/>
          </w:tcPr>
          <w:p w:rsidR="00E24FEC" w:rsidRPr="00EA5B96" w:rsidRDefault="00E24FEC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B96">
              <w:rPr>
                <w:rFonts w:ascii="Times New Roman" w:eastAsia="Times New Roman" w:hAnsi="Times New Roman"/>
                <w:sz w:val="24"/>
                <w:szCs w:val="24"/>
              </w:rPr>
              <w:t>Komisijas priekšsēdētāja:</w:t>
            </w:r>
          </w:p>
        </w:tc>
        <w:tc>
          <w:tcPr>
            <w:tcW w:w="5244" w:type="dxa"/>
          </w:tcPr>
          <w:p w:rsidR="00E24FEC" w:rsidRPr="00EA5B96" w:rsidRDefault="00E24FEC" w:rsidP="00CC1F4B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B96">
              <w:rPr>
                <w:rFonts w:ascii="Times New Roman" w:hAnsi="Times New Roman"/>
                <w:b/>
                <w:sz w:val="24"/>
                <w:szCs w:val="24"/>
              </w:rPr>
              <w:t>Lelde Tauriņa-Lasmane</w:t>
            </w:r>
            <w:r w:rsidRPr="00EA5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F4B">
              <w:rPr>
                <w:rFonts w:ascii="Times New Roman" w:hAnsi="Times New Roman"/>
                <w:sz w:val="24"/>
                <w:szCs w:val="24"/>
              </w:rPr>
              <w:t>Studiju</w:t>
            </w:r>
            <w:r w:rsidRPr="00EA5B96">
              <w:rPr>
                <w:rFonts w:ascii="Times New Roman" w:hAnsi="Times New Roman"/>
                <w:sz w:val="24"/>
                <w:szCs w:val="24"/>
              </w:rPr>
              <w:t xml:space="preserve"> departamenta Iepirkumu nodaļas vadītāja.</w:t>
            </w:r>
          </w:p>
        </w:tc>
      </w:tr>
      <w:tr w:rsidR="00E24FEC" w:rsidRPr="0006653B" w:rsidTr="00811E68">
        <w:tc>
          <w:tcPr>
            <w:tcW w:w="4395" w:type="dxa"/>
          </w:tcPr>
          <w:p w:rsidR="00E24FEC" w:rsidRDefault="00E24FEC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B96">
              <w:rPr>
                <w:rFonts w:ascii="Times New Roman" w:eastAsia="Times New Roman" w:hAnsi="Times New Roman"/>
                <w:sz w:val="24"/>
                <w:szCs w:val="24"/>
              </w:rPr>
              <w:t>Komisijas locekļi:</w:t>
            </w: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E7B" w:rsidRPr="00EA5B96" w:rsidRDefault="000C6E7B" w:rsidP="004767A7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Eksperts:</w:t>
            </w:r>
          </w:p>
        </w:tc>
        <w:tc>
          <w:tcPr>
            <w:tcW w:w="5244" w:type="dxa"/>
          </w:tcPr>
          <w:p w:rsidR="00D1641B" w:rsidRDefault="00D1641B" w:rsidP="00D1641B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6E9">
              <w:rPr>
                <w:rFonts w:ascii="Times New Roman" w:hAnsi="Times New Roman"/>
                <w:b/>
                <w:sz w:val="24"/>
                <w:szCs w:val="24"/>
              </w:rPr>
              <w:t>Aija Gulbe</w:t>
            </w:r>
            <w:r>
              <w:rPr>
                <w:rFonts w:ascii="Times New Roman" w:hAnsi="Times New Roman"/>
                <w:sz w:val="24"/>
                <w:szCs w:val="24"/>
              </w:rPr>
              <w:t>, Studiju departamenta direktore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641B" w:rsidRPr="00A93800" w:rsidRDefault="008E38FF" w:rsidP="00D1641B">
            <w:pPr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Andulis Priednieks</w:t>
            </w:r>
            <w:r w:rsidR="00D1641B" w:rsidRPr="00EA5B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>Finanšu departamenta direktors</w:t>
            </w:r>
            <w:r w:rsidR="00D164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FEC" w:rsidRDefault="00A93800" w:rsidP="004767A7">
            <w:pPr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Inese Ribikauska</w:t>
            </w:r>
            <w:r w:rsidR="00E24FEC" w:rsidRPr="00EA5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F4B">
              <w:rPr>
                <w:rFonts w:ascii="Times New Roman" w:hAnsi="Times New Roman"/>
                <w:sz w:val="24"/>
                <w:szCs w:val="24"/>
              </w:rPr>
              <w:t>Studiju</w:t>
            </w:r>
            <w:r w:rsidR="00E24FEC" w:rsidRPr="00EA5B96">
              <w:rPr>
                <w:rFonts w:ascii="Times New Roman" w:hAnsi="Times New Roman"/>
                <w:sz w:val="24"/>
                <w:szCs w:val="24"/>
              </w:rPr>
              <w:t xml:space="preserve"> departamenta Iepirkumu nod</w:t>
            </w:r>
            <w:r>
              <w:rPr>
                <w:rFonts w:ascii="Times New Roman" w:hAnsi="Times New Roman"/>
                <w:sz w:val="24"/>
                <w:szCs w:val="24"/>
              </w:rPr>
              <w:t>aļas Iepirkumu projektu vadītāja</w:t>
            </w:r>
            <w:r w:rsidR="00E24FEC" w:rsidRPr="00EA5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E7B" w:rsidRDefault="000C6E7B" w:rsidP="004767A7">
            <w:pPr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7B" w:rsidRPr="00EA5B96" w:rsidRDefault="008E38FF" w:rsidP="004767A7">
            <w:pPr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Māra Pilmane</w:t>
            </w:r>
            <w:r>
              <w:rPr>
                <w:rFonts w:ascii="Times New Roman" w:hAnsi="Times New Roman"/>
                <w:sz w:val="24"/>
                <w:szCs w:val="24"/>
              </w:rPr>
              <w:t>, Anatomijas un antropoloģijas institūta direktore</w:t>
            </w:r>
            <w:r w:rsidR="000C6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FEC" w:rsidRPr="00EA5B96" w:rsidRDefault="00E24FEC" w:rsidP="00D1641B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581D" w:rsidRPr="003207A9" w:rsidRDefault="002A0800" w:rsidP="001C7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7A9">
        <w:rPr>
          <w:rFonts w:ascii="Times New Roman" w:hAnsi="Times New Roman"/>
          <w:sz w:val="24"/>
          <w:szCs w:val="24"/>
        </w:rPr>
        <w:t>201</w:t>
      </w:r>
      <w:r w:rsidR="00CC1F4B">
        <w:rPr>
          <w:rFonts w:ascii="Times New Roman" w:hAnsi="Times New Roman"/>
          <w:sz w:val="24"/>
          <w:szCs w:val="24"/>
        </w:rPr>
        <w:t>8</w:t>
      </w:r>
      <w:r w:rsidRPr="003207A9">
        <w:rPr>
          <w:rFonts w:ascii="Times New Roman" w:hAnsi="Times New Roman"/>
          <w:sz w:val="24"/>
          <w:szCs w:val="24"/>
        </w:rPr>
        <w:t>.gada</w:t>
      </w:r>
      <w:proofErr w:type="gramEnd"/>
      <w:r w:rsidRPr="003207A9">
        <w:rPr>
          <w:rFonts w:ascii="Times New Roman" w:hAnsi="Times New Roman"/>
          <w:sz w:val="24"/>
          <w:szCs w:val="24"/>
        </w:rPr>
        <w:t xml:space="preserve"> </w:t>
      </w:r>
      <w:r w:rsidR="008E38FF">
        <w:rPr>
          <w:rFonts w:ascii="Times New Roman" w:hAnsi="Times New Roman"/>
          <w:sz w:val="24"/>
          <w:szCs w:val="24"/>
        </w:rPr>
        <w:t>8</w:t>
      </w:r>
      <w:r w:rsidR="00E24FEC">
        <w:rPr>
          <w:rFonts w:ascii="Times New Roman" w:hAnsi="Times New Roman"/>
          <w:sz w:val="24"/>
          <w:szCs w:val="24"/>
        </w:rPr>
        <w:t>.</w:t>
      </w:r>
      <w:r w:rsidR="008E38FF">
        <w:rPr>
          <w:rFonts w:ascii="Times New Roman" w:hAnsi="Times New Roman"/>
          <w:sz w:val="24"/>
          <w:szCs w:val="24"/>
        </w:rPr>
        <w:t>oktobrī</w:t>
      </w:r>
      <w:r w:rsidR="00E24FEC">
        <w:rPr>
          <w:rFonts w:ascii="Times New Roman" w:hAnsi="Times New Roman"/>
          <w:sz w:val="24"/>
          <w:szCs w:val="24"/>
        </w:rPr>
        <w:t>,</w:t>
      </w:r>
      <w:r w:rsidR="00EB14EA">
        <w:rPr>
          <w:rFonts w:ascii="Times New Roman" w:hAnsi="Times New Roman"/>
          <w:sz w:val="24"/>
          <w:szCs w:val="24"/>
        </w:rPr>
        <w:t xml:space="preserve"> </w:t>
      </w:r>
      <w:r w:rsidR="00A467CA" w:rsidRPr="003207A9">
        <w:rPr>
          <w:rFonts w:ascii="Times New Roman" w:hAnsi="Times New Roman"/>
          <w:sz w:val="24"/>
          <w:szCs w:val="24"/>
        </w:rPr>
        <w:t xml:space="preserve">Rīgā, Dzirciema ielā 16, iepirkuma </w:t>
      </w:r>
      <w:r w:rsidR="0040243C" w:rsidRPr="003207A9">
        <w:rPr>
          <w:rFonts w:ascii="Times New Roman" w:hAnsi="Times New Roman"/>
          <w:sz w:val="24"/>
          <w:szCs w:val="24"/>
        </w:rPr>
        <w:t>“</w:t>
      </w:r>
      <w:r w:rsidR="008E38FF" w:rsidRPr="00CF1A40">
        <w:rPr>
          <w:rFonts w:ascii="Times New Roman" w:hAnsi="Times New Roman"/>
          <w:b/>
          <w:sz w:val="24"/>
          <w:szCs w:val="24"/>
        </w:rPr>
        <w:t>Digitalizēta mikroskopa komplekta iegāde</w:t>
      </w:r>
      <w:r w:rsidR="004E17D0">
        <w:rPr>
          <w:rFonts w:ascii="Times New Roman" w:hAnsi="Times New Roman"/>
          <w:sz w:val="24"/>
          <w:szCs w:val="24"/>
        </w:rPr>
        <w:t>”, ID</w:t>
      </w:r>
      <w:r w:rsidR="0040243C" w:rsidRPr="003207A9">
        <w:rPr>
          <w:rFonts w:ascii="Times New Roman" w:hAnsi="Times New Roman"/>
          <w:sz w:val="24"/>
          <w:szCs w:val="24"/>
        </w:rPr>
        <w:t> Nr. </w:t>
      </w:r>
      <w:r w:rsidR="008E38FF">
        <w:rPr>
          <w:rFonts w:ascii="Times New Roman" w:hAnsi="Times New Roman"/>
          <w:sz w:val="24"/>
          <w:szCs w:val="24"/>
        </w:rPr>
        <w:t>RSU-2018/35</w:t>
      </w:r>
      <w:r w:rsidR="00A03CDD" w:rsidRPr="00A03CDD">
        <w:rPr>
          <w:rFonts w:ascii="Times New Roman" w:hAnsi="Times New Roman"/>
          <w:sz w:val="24"/>
          <w:szCs w:val="24"/>
        </w:rPr>
        <w:t>/MA-SP/10000</w:t>
      </w:r>
      <w:r w:rsidR="00296401">
        <w:rPr>
          <w:rFonts w:ascii="Times New Roman" w:hAnsi="Times New Roman"/>
          <w:sz w:val="24"/>
          <w:szCs w:val="24"/>
        </w:rPr>
        <w:t xml:space="preserve"> </w:t>
      </w:r>
      <w:r w:rsidR="00A467CA" w:rsidRPr="003207A9">
        <w:rPr>
          <w:rFonts w:ascii="Times New Roman" w:hAnsi="Times New Roman"/>
          <w:sz w:val="24"/>
          <w:szCs w:val="24"/>
        </w:rPr>
        <w:t>ietvaros</w:t>
      </w:r>
    </w:p>
    <w:p w:rsidR="00E820E4" w:rsidRPr="003207A9" w:rsidRDefault="00A64C94" w:rsidP="001C7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A9">
        <w:rPr>
          <w:rFonts w:ascii="Times New Roman" w:hAnsi="Times New Roman"/>
          <w:sz w:val="24"/>
          <w:szCs w:val="24"/>
        </w:rPr>
        <w:t xml:space="preserve"> </w:t>
      </w:r>
    </w:p>
    <w:p w:rsidR="00C511DE" w:rsidRPr="003207A9" w:rsidRDefault="00C511DE" w:rsidP="001C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A9">
        <w:rPr>
          <w:rFonts w:ascii="Times New Roman" w:hAnsi="Times New Roman"/>
          <w:b/>
          <w:sz w:val="24"/>
          <w:szCs w:val="24"/>
        </w:rPr>
        <w:t>KONSTATĒJA:</w:t>
      </w:r>
    </w:p>
    <w:p w:rsidR="000F4ED0" w:rsidRPr="003D7F13" w:rsidRDefault="000F4ED0" w:rsidP="001C7E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6B89" w:rsidRDefault="007C6B89" w:rsidP="007C6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2018.gada</w:t>
      </w:r>
      <w:proofErr w:type="gramEnd"/>
      <w:r>
        <w:rPr>
          <w:rFonts w:ascii="Times New Roman" w:hAnsi="Times New Roman"/>
          <w:sz w:val="24"/>
          <w:szCs w:val="24"/>
        </w:rPr>
        <w:t xml:space="preserve"> 22</w:t>
      </w:r>
      <w:r w:rsidRPr="00537D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augusta</w:t>
      </w:r>
      <w:r w:rsidRPr="002B0134">
        <w:rPr>
          <w:rFonts w:ascii="Times New Roman" w:hAnsi="Times New Roman"/>
          <w:sz w:val="24"/>
          <w:szCs w:val="24"/>
        </w:rPr>
        <w:t xml:space="preserve"> </w:t>
      </w:r>
      <w:r w:rsidRPr="00053902">
        <w:rPr>
          <w:rFonts w:ascii="Times New Roman" w:hAnsi="Times New Roman"/>
          <w:sz w:val="24"/>
          <w:szCs w:val="24"/>
        </w:rPr>
        <w:t>komisijas sēdē (</w:t>
      </w:r>
      <w:proofErr w:type="spellStart"/>
      <w:r w:rsidRPr="00053902">
        <w:rPr>
          <w:rFonts w:ascii="Times New Roman" w:hAnsi="Times New Roman"/>
          <w:sz w:val="24"/>
          <w:szCs w:val="24"/>
        </w:rPr>
        <w:t>prot.Nr</w:t>
      </w:r>
      <w:proofErr w:type="spellEnd"/>
      <w:r w:rsidRPr="000539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53-11/132/4</w:t>
      </w:r>
      <w:r w:rsidRPr="0005390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  <w:r w:rsidRPr="002B0134">
        <w:rPr>
          <w:rFonts w:ascii="Times New Roman" w:hAnsi="Times New Roman"/>
          <w:sz w:val="24"/>
          <w:szCs w:val="24"/>
        </w:rPr>
        <w:t>iepirkumā „</w:t>
      </w:r>
      <w:r w:rsidRPr="00537D32">
        <w:rPr>
          <w:rFonts w:ascii="Times New Roman" w:hAnsi="Times New Roman"/>
          <w:b/>
          <w:sz w:val="24"/>
          <w:szCs w:val="24"/>
        </w:rPr>
        <w:t>Mikroskopa demonstrācijas sistēmas komplekta un Digitalizēta mikroskopa komplekta iegāde</w:t>
      </w:r>
      <w:r w:rsidRPr="002B0134">
        <w:rPr>
          <w:rFonts w:ascii="Times New Roman" w:hAnsi="Times New Roman"/>
          <w:sz w:val="24"/>
          <w:szCs w:val="24"/>
        </w:rPr>
        <w:t xml:space="preserve">” (ID Nr. </w:t>
      </w:r>
      <w:r>
        <w:rPr>
          <w:rFonts w:ascii="Times New Roman" w:hAnsi="Times New Roman"/>
          <w:sz w:val="24"/>
          <w:szCs w:val="24"/>
        </w:rPr>
        <w:t>RSU-2018/29/MA-AK</w:t>
      </w:r>
      <w:r w:rsidRPr="002B0134">
        <w:rPr>
          <w:rFonts w:ascii="Times New Roman" w:hAnsi="Times New Roman"/>
          <w:sz w:val="24"/>
          <w:szCs w:val="24"/>
        </w:rPr>
        <w:t xml:space="preserve">) tika konstatēts, ka </w:t>
      </w:r>
      <w:r>
        <w:rPr>
          <w:rFonts w:ascii="Times New Roman" w:hAnsi="Times New Roman"/>
          <w:sz w:val="24"/>
          <w:szCs w:val="24"/>
        </w:rPr>
        <w:t xml:space="preserve">iepirkuma 1.daļā </w:t>
      </w:r>
      <w:r w:rsidRPr="002B0134">
        <w:rPr>
          <w:rFonts w:ascii="Times New Roman" w:hAnsi="Times New Roman"/>
          <w:sz w:val="24"/>
          <w:szCs w:val="24"/>
        </w:rPr>
        <w:t xml:space="preserve">nav iesniegti piedāvājumi. </w:t>
      </w:r>
      <w:r>
        <w:rPr>
          <w:rFonts w:ascii="Times New Roman" w:hAnsi="Times New Roman"/>
          <w:sz w:val="24"/>
          <w:szCs w:val="24"/>
        </w:rPr>
        <w:t xml:space="preserve">Komisija nolēma </w:t>
      </w:r>
      <w:r w:rsidRPr="00D72857">
        <w:rPr>
          <w:rFonts w:ascii="Times New Roman" w:hAnsi="Times New Roman"/>
          <w:b/>
          <w:sz w:val="24"/>
          <w:szCs w:val="24"/>
        </w:rPr>
        <w:t>izbeigt</w:t>
      </w:r>
      <w:r w:rsidRPr="00D72857">
        <w:rPr>
          <w:rFonts w:ascii="Times New Roman" w:hAnsi="Times New Roman"/>
          <w:sz w:val="24"/>
          <w:szCs w:val="24"/>
        </w:rPr>
        <w:t xml:space="preserve"> iepirkumu 1.daļā, jo netika iesniegts neviens piedāvājums</w:t>
      </w:r>
      <w:r>
        <w:rPr>
          <w:rFonts w:ascii="Times New Roman" w:hAnsi="Times New Roman"/>
          <w:sz w:val="24"/>
          <w:szCs w:val="24"/>
        </w:rPr>
        <w:t xml:space="preserve">, pamatojoties uz </w:t>
      </w:r>
      <w:r w:rsidRPr="00783152">
        <w:rPr>
          <w:rFonts w:ascii="Times New Roman" w:hAnsi="Times New Roman"/>
        </w:rPr>
        <w:t xml:space="preserve">nolikuma </w:t>
      </w:r>
      <w:r w:rsidRPr="000C04E6">
        <w:rPr>
          <w:rFonts w:ascii="Times New Roman" w:hAnsi="Times New Roman"/>
          <w:sz w:val="24"/>
          <w:szCs w:val="24"/>
        </w:rPr>
        <w:t xml:space="preserve">38.6. punktu </w:t>
      </w:r>
      <w:r w:rsidRPr="000C04E6">
        <w:rPr>
          <w:rFonts w:ascii="Times New Roman" w:hAnsi="Times New Roman"/>
          <w:i/>
          <w:sz w:val="24"/>
          <w:szCs w:val="24"/>
        </w:rPr>
        <w:t>“</w:t>
      </w:r>
      <w:r w:rsidRPr="000C04E6">
        <w:rPr>
          <w:rFonts w:ascii="Times New Roman" w:hAnsi="Times New Roman"/>
          <w:i/>
          <w:color w:val="000000"/>
          <w:sz w:val="24"/>
          <w:szCs w:val="24"/>
        </w:rPr>
        <w:t>Ja Komisija konstatē, ka nav saņemts neviens piedāvājums, vai visi iesniegtie piedāvājumi atzīti par neatbilstošiem Nolikumā izvirzītajām atlases (kvalifikācijas) prasībām un/vai minimālajām tehniskajām prasībām, Komisija pieņem lēmumu iepirkuma procedūru izbeigt bez rezultāta</w:t>
      </w:r>
      <w:r w:rsidRPr="000C04E6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</w:rPr>
        <w:t xml:space="preserve"> </w:t>
      </w:r>
      <w:r w:rsidRPr="006B6788">
        <w:rPr>
          <w:rFonts w:ascii="Times New Roman" w:hAnsi="Times New Roman"/>
          <w:sz w:val="24"/>
          <w:szCs w:val="24"/>
        </w:rPr>
        <w:t xml:space="preserve">un Ministru Kabineta 28.02.2017. noteikumu Nr. 107 “Iepirkumu procedūru un metu konkursu norises kārtība” </w:t>
      </w:r>
      <w:r w:rsidRPr="00783152">
        <w:rPr>
          <w:rFonts w:ascii="Times New Roman" w:hAnsi="Times New Roman"/>
          <w:i/>
          <w:sz w:val="24"/>
          <w:szCs w:val="24"/>
        </w:rPr>
        <w:t>229.1.punktu “Pasūtītājs pieņem lēmumu izbeigt iepirkuma procedūru, ja atklātā vai slēgtā konkursā</w:t>
      </w:r>
      <w:r w:rsidRPr="00783152">
        <w:rPr>
          <w:rFonts w:ascii="Times New Roman" w:hAnsi="Times New Roman"/>
          <w:sz w:val="24"/>
          <w:szCs w:val="24"/>
        </w:rPr>
        <w:t xml:space="preserve"> </w:t>
      </w:r>
      <w:r w:rsidRPr="00783152">
        <w:rPr>
          <w:rFonts w:ascii="Times New Roman" w:hAnsi="Times New Roman"/>
          <w:i/>
          <w:color w:val="414142"/>
          <w:sz w:val="24"/>
          <w:szCs w:val="24"/>
        </w:rPr>
        <w:t>nav iesniegti piedāvājumi vai pieteikumi”.</w:t>
      </w:r>
    </w:p>
    <w:p w:rsidR="007C6B89" w:rsidRDefault="007C6B89" w:rsidP="007C6B8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2018.gada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  <w:r w:rsidRPr="002B01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septembra</w:t>
      </w:r>
      <w:r w:rsidRPr="002B0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komisijas sēdē (prot.Nr.</w:t>
      </w:r>
      <w:r>
        <w:rPr>
          <w:rFonts w:ascii="Times New Roman" w:eastAsia="Times New Roman" w:hAnsi="Times New Roman"/>
          <w:sz w:val="24"/>
          <w:szCs w:val="24"/>
        </w:rPr>
        <w:t>53-11/137/1</w:t>
      </w:r>
      <w:r w:rsidRPr="0005390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  <w:r w:rsidRPr="003207A9">
        <w:rPr>
          <w:rFonts w:ascii="Times New Roman" w:eastAsia="Times New Roman" w:hAnsi="Times New Roman"/>
          <w:sz w:val="24"/>
          <w:szCs w:val="24"/>
        </w:rPr>
        <w:t xml:space="preserve">tika </w:t>
      </w:r>
      <w:r w:rsidRPr="003207A9">
        <w:rPr>
          <w:rFonts w:ascii="Times New Roman" w:hAnsi="Times New Roman"/>
          <w:sz w:val="24"/>
          <w:szCs w:val="24"/>
        </w:rPr>
        <w:t>apstiprināts nolikums plānotajam iepirkumam</w:t>
      </w:r>
      <w:r w:rsidRPr="002B0134">
        <w:rPr>
          <w:rFonts w:ascii="Times New Roman" w:hAnsi="Times New Roman"/>
          <w:sz w:val="24"/>
          <w:szCs w:val="24"/>
        </w:rPr>
        <w:t xml:space="preserve"> </w:t>
      </w:r>
      <w:r w:rsidRPr="003207A9">
        <w:rPr>
          <w:rFonts w:ascii="Times New Roman" w:hAnsi="Times New Roman"/>
          <w:sz w:val="24"/>
          <w:szCs w:val="24"/>
        </w:rPr>
        <w:t>“</w:t>
      </w:r>
      <w:r w:rsidRPr="00CF1A40">
        <w:rPr>
          <w:rFonts w:ascii="Times New Roman" w:hAnsi="Times New Roman"/>
          <w:b/>
          <w:sz w:val="24"/>
          <w:szCs w:val="24"/>
        </w:rPr>
        <w:t>Digitalizēta mikroskopa komplekta iegāde</w:t>
      </w:r>
      <w:r>
        <w:rPr>
          <w:rFonts w:ascii="Times New Roman" w:hAnsi="Times New Roman"/>
          <w:sz w:val="24"/>
          <w:szCs w:val="24"/>
        </w:rPr>
        <w:t>”, ID</w:t>
      </w:r>
      <w:r w:rsidRPr="003207A9">
        <w:rPr>
          <w:rFonts w:ascii="Times New Roman" w:hAnsi="Times New Roman"/>
          <w:sz w:val="24"/>
          <w:szCs w:val="24"/>
        </w:rPr>
        <w:t> Nr. </w:t>
      </w:r>
      <w:r>
        <w:rPr>
          <w:rFonts w:ascii="Times New Roman" w:hAnsi="Times New Roman"/>
          <w:sz w:val="24"/>
          <w:szCs w:val="24"/>
        </w:rPr>
        <w:t>RSU-2018/35</w:t>
      </w:r>
      <w:r w:rsidRPr="00A03CDD">
        <w:rPr>
          <w:rFonts w:ascii="Times New Roman" w:hAnsi="Times New Roman"/>
          <w:sz w:val="24"/>
          <w:szCs w:val="24"/>
        </w:rPr>
        <w:t>/MA-SP/10000</w:t>
      </w:r>
      <w:r w:rsidRPr="003207A9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Pr="003207A9">
        <w:rPr>
          <w:rFonts w:ascii="Times New Roman" w:hAnsi="Times New Roman"/>
          <w:sz w:val="24"/>
          <w:szCs w:val="24"/>
        </w:rPr>
        <w:t>(turpmāk - nolikums)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6B89" w:rsidRPr="00615F62" w:rsidRDefault="007C6B89" w:rsidP="007C6B89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723C3">
        <w:rPr>
          <w:rFonts w:ascii="Times New Roman" w:hAnsi="Times New Roman"/>
          <w:sz w:val="24"/>
          <w:szCs w:val="24"/>
        </w:rPr>
        <w:t xml:space="preserve">Komisija, ņemot vērā </w:t>
      </w:r>
      <w:r>
        <w:rPr>
          <w:rFonts w:ascii="Times New Roman" w:hAnsi="Times New Roman"/>
          <w:sz w:val="24"/>
          <w:szCs w:val="24"/>
        </w:rPr>
        <w:t xml:space="preserve">Publisko iepirkuma likuma (turpmāk – </w:t>
      </w:r>
      <w:r w:rsidRPr="001723C3">
        <w:rPr>
          <w:rFonts w:ascii="Times New Roman" w:hAnsi="Times New Roman"/>
          <w:sz w:val="24"/>
          <w:szCs w:val="24"/>
        </w:rPr>
        <w:t>PIL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8.panta</w:t>
      </w:r>
      <w:proofErr w:type="gramEnd"/>
      <w:r>
        <w:rPr>
          <w:rFonts w:ascii="Times New Roman" w:hAnsi="Times New Roman"/>
          <w:sz w:val="24"/>
          <w:szCs w:val="24"/>
        </w:rPr>
        <w:t xml:space="preserve"> septītās daļas 1.punktu</w:t>
      </w:r>
      <w:r w:rsidRPr="001723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nolēma</w:t>
      </w:r>
      <w:r w:rsidRPr="001723C3">
        <w:rPr>
          <w:rFonts w:ascii="Times New Roman" w:hAnsi="Times New Roman"/>
          <w:sz w:val="24"/>
          <w:szCs w:val="24"/>
        </w:rPr>
        <w:t xml:space="preserve"> rīkot sarunu procedūru ar </w:t>
      </w:r>
      <w:r w:rsidRPr="008E38FF">
        <w:rPr>
          <w:rFonts w:ascii="Times New Roman" w:hAnsi="Times New Roman"/>
          <w:b/>
          <w:sz w:val="24"/>
          <w:szCs w:val="24"/>
        </w:rPr>
        <w:t>SIA “</w:t>
      </w:r>
      <w:proofErr w:type="spellStart"/>
      <w:r w:rsidRPr="008E38FF">
        <w:rPr>
          <w:rFonts w:ascii="Times New Roman" w:hAnsi="Times New Roman"/>
          <w:b/>
          <w:sz w:val="24"/>
          <w:szCs w:val="24"/>
        </w:rPr>
        <w:t>Faneks</w:t>
      </w:r>
      <w:proofErr w:type="spellEnd"/>
      <w:r w:rsidRPr="008E38FF">
        <w:rPr>
          <w:rFonts w:ascii="Times New Roman" w:hAnsi="Times New Roman"/>
          <w:b/>
          <w:sz w:val="24"/>
          <w:szCs w:val="24"/>
        </w:rPr>
        <w:t>”, SIA “</w:t>
      </w:r>
      <w:proofErr w:type="spellStart"/>
      <w:r w:rsidRPr="008E38FF">
        <w:rPr>
          <w:rFonts w:ascii="Times New Roman" w:hAnsi="Times New Roman"/>
          <w:b/>
          <w:sz w:val="24"/>
          <w:szCs w:val="24"/>
        </w:rPr>
        <w:t>GenMedica</w:t>
      </w:r>
      <w:proofErr w:type="spellEnd"/>
      <w:r w:rsidRPr="008E38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8FF">
        <w:rPr>
          <w:rFonts w:ascii="Times New Roman" w:hAnsi="Times New Roman"/>
          <w:b/>
          <w:sz w:val="24"/>
          <w:szCs w:val="24"/>
        </w:rPr>
        <w:t>Baltic</w:t>
      </w:r>
      <w:proofErr w:type="spellEnd"/>
      <w:r w:rsidRPr="008E38F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un</w:t>
      </w:r>
      <w:r w:rsidRPr="008E38FF">
        <w:rPr>
          <w:rFonts w:ascii="Times New Roman" w:hAnsi="Times New Roman"/>
          <w:b/>
          <w:sz w:val="24"/>
          <w:szCs w:val="24"/>
        </w:rPr>
        <w:t xml:space="preserve"> SIA “</w:t>
      </w:r>
      <w:proofErr w:type="spellStart"/>
      <w:r w:rsidRPr="008E38FF">
        <w:rPr>
          <w:rFonts w:ascii="Times New Roman" w:hAnsi="Times New Roman"/>
          <w:b/>
          <w:sz w:val="24"/>
          <w:szCs w:val="24"/>
        </w:rPr>
        <w:t>Saint-Tech”</w:t>
      </w:r>
      <w:proofErr w:type="spellEnd"/>
      <w:r>
        <w:rPr>
          <w:rFonts w:ascii="Times New Roman" w:hAnsi="Times New Roman"/>
          <w:sz w:val="24"/>
          <w:szCs w:val="24"/>
        </w:rPr>
        <w:t xml:space="preserve"> PIL 9.panta ietvaros.</w:t>
      </w:r>
    </w:p>
    <w:p w:rsidR="007C6B89" w:rsidRDefault="007C6B89" w:rsidP="007C6B89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207A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207A9">
        <w:rPr>
          <w:rFonts w:ascii="Times New Roman" w:hAnsi="Times New Roman"/>
          <w:sz w:val="24"/>
          <w:szCs w:val="24"/>
        </w:rPr>
        <w:t>.gada</w:t>
      </w:r>
      <w:proofErr w:type="gramEnd"/>
      <w:r w:rsidRPr="0032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8.oktobra</w:t>
      </w:r>
      <w:r w:rsidRPr="003207A9">
        <w:rPr>
          <w:rFonts w:ascii="Times New Roman" w:hAnsi="Times New Roman"/>
          <w:sz w:val="24"/>
          <w:szCs w:val="24"/>
        </w:rPr>
        <w:t xml:space="preserve"> komisijas sēdē (protokols Nr.</w:t>
      </w:r>
      <w:r>
        <w:rPr>
          <w:rFonts w:ascii="Times New Roman" w:eastAsia="Times New Roman" w:hAnsi="Times New Roman"/>
          <w:sz w:val="24"/>
          <w:szCs w:val="24"/>
        </w:rPr>
        <w:t>53-11/154</w:t>
      </w:r>
      <w:r w:rsidRPr="00091F7C">
        <w:rPr>
          <w:rFonts w:ascii="Times New Roman" w:eastAsia="Times New Roman" w:hAnsi="Times New Roman"/>
          <w:sz w:val="24"/>
          <w:szCs w:val="24"/>
        </w:rPr>
        <w:t>/2</w:t>
      </w:r>
      <w:r w:rsidRPr="003207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komisija konstatēja, ka </w:t>
      </w:r>
      <w:r>
        <w:rPr>
          <w:rFonts w:ascii="Times New Roman" w:eastAsiaTheme="minorHAnsi" w:hAnsi="Times New Roman"/>
          <w:sz w:val="24"/>
          <w:szCs w:val="24"/>
        </w:rPr>
        <w:t>piedāvājumus</w:t>
      </w:r>
      <w:r w:rsidRPr="00177AD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iesnieguši pretendenti:</w:t>
      </w:r>
    </w:p>
    <w:tbl>
      <w:tblPr>
        <w:tblW w:w="39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3783"/>
      </w:tblGrid>
      <w:tr w:rsidR="007C6B89" w:rsidRPr="00EA5B96" w:rsidTr="009B7370">
        <w:trPr>
          <w:trHeight w:val="516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9" w:rsidRPr="00EA5B96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96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9" w:rsidRPr="00EA5B96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96">
              <w:rPr>
                <w:rFonts w:ascii="Times New Roman" w:hAnsi="Times New Roman"/>
                <w:b/>
                <w:sz w:val="24"/>
                <w:szCs w:val="24"/>
              </w:rPr>
              <w:t>Piedāvājuma iesniegšanas datums un laiks</w:t>
            </w:r>
          </w:p>
        </w:tc>
      </w:tr>
      <w:tr w:rsidR="007C6B89" w:rsidRPr="00EA5B96" w:rsidTr="009B7370">
        <w:trPr>
          <w:trHeight w:val="58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Pr="00EA5B96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Saint-Tech”</w:t>
            </w:r>
            <w:proofErr w:type="spellEnd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9" w:rsidRPr="00EA5B96" w:rsidRDefault="007C6B89" w:rsidP="009B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14.09.2018., plkst. 14:05</w:t>
            </w:r>
          </w:p>
        </w:tc>
      </w:tr>
      <w:tr w:rsidR="007C6B89" w:rsidRPr="00EA5B96" w:rsidTr="009B7370">
        <w:trPr>
          <w:trHeight w:val="58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Default="007C6B89" w:rsidP="009B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17.09.2018., plkst.18:10</w:t>
            </w:r>
          </w:p>
        </w:tc>
      </w:tr>
      <w:tr w:rsidR="007C6B89" w:rsidRPr="00EA5B96" w:rsidTr="009B7370">
        <w:trPr>
          <w:trHeight w:val="58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GenMedica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Default="007C6B89" w:rsidP="009B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18.09.2018., plkst.09:15</w:t>
            </w:r>
          </w:p>
        </w:tc>
      </w:tr>
    </w:tbl>
    <w:p w:rsidR="007C6B89" w:rsidRDefault="007C6B89" w:rsidP="007C6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B89" w:rsidRDefault="007C6B89" w:rsidP="007C6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AD">
        <w:rPr>
          <w:rFonts w:ascii="Times New Roman" w:hAnsi="Times New Roman"/>
          <w:sz w:val="24"/>
          <w:szCs w:val="24"/>
        </w:rPr>
        <w:lastRenderedPageBreak/>
        <w:t xml:space="preserve">Komisija nosauc </w:t>
      </w:r>
      <w:r>
        <w:rPr>
          <w:rFonts w:ascii="Times New Roman" w:hAnsi="Times New Roman"/>
          <w:sz w:val="24"/>
          <w:szCs w:val="24"/>
        </w:rPr>
        <w:t>pretendentu</w:t>
      </w:r>
      <w:r w:rsidRPr="004D48AD">
        <w:rPr>
          <w:rFonts w:ascii="Times New Roman" w:hAnsi="Times New Roman"/>
          <w:sz w:val="24"/>
          <w:szCs w:val="24"/>
        </w:rPr>
        <w:t xml:space="preserve"> iesniegto finanšu piedāvājumu līgumcenas EUR bez PVN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41"/>
        <w:gridCol w:w="1562"/>
        <w:gridCol w:w="2397"/>
      </w:tblGrid>
      <w:tr w:rsidR="007C6B89" w:rsidRPr="006077FC" w:rsidTr="009B7370">
        <w:trPr>
          <w:trHeight w:val="516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Pr="006077FC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7FC">
              <w:rPr>
                <w:rFonts w:ascii="Times New Roman" w:hAnsi="Times New Roman"/>
                <w:b/>
                <w:sz w:val="20"/>
                <w:szCs w:val="20"/>
              </w:rPr>
              <w:t>Nosaukums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24BD9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SIA “</w:t>
            </w:r>
            <w:proofErr w:type="spellStart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Saint-Tech”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24BD9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SIA “</w:t>
            </w:r>
            <w:proofErr w:type="spellStart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Faneks</w:t>
            </w:r>
            <w:proofErr w:type="spellEnd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24BD9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SIA “</w:t>
            </w:r>
            <w:proofErr w:type="spellStart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GenMedica</w:t>
            </w:r>
            <w:proofErr w:type="spellEnd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Baltic</w:t>
            </w:r>
            <w:proofErr w:type="spellEnd"/>
            <w:r w:rsidRPr="00624BD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7C6B89" w:rsidRPr="006077FC" w:rsidTr="009B7370">
        <w:trPr>
          <w:trHeight w:val="585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9" w:rsidRPr="00624BD9" w:rsidRDefault="007C6B89" w:rsidP="009B7370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BD9">
              <w:rPr>
                <w:rFonts w:ascii="Times New Roman" w:hAnsi="Times New Roman"/>
                <w:sz w:val="20"/>
                <w:szCs w:val="20"/>
              </w:rPr>
              <w:t>Digitalizēta mikroskopa komplekta iegāde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077FC" w:rsidRDefault="007C6B89" w:rsidP="009B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43 165.00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077FC" w:rsidRDefault="007C6B89" w:rsidP="009B7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37 000.00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89" w:rsidRPr="006077FC" w:rsidRDefault="007C6B89" w:rsidP="009B7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29 739.61</w:t>
            </w:r>
          </w:p>
        </w:tc>
      </w:tr>
    </w:tbl>
    <w:p w:rsidR="00BF4E2F" w:rsidRDefault="00BF4E2F" w:rsidP="00BF4E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 pamatojoties uz eksperta, atzinumu nolēma, ka pretendenta </w:t>
      </w:r>
      <w:r w:rsidRPr="00B61B00">
        <w:rPr>
          <w:rFonts w:ascii="Times New Roman" w:hAnsi="Times New Roman"/>
          <w:b/>
          <w:sz w:val="24"/>
          <w:szCs w:val="24"/>
        </w:rPr>
        <w:t>SIA “</w:t>
      </w:r>
      <w:proofErr w:type="spellStart"/>
      <w:r w:rsidRPr="00B61B00">
        <w:rPr>
          <w:rFonts w:ascii="Times New Roman" w:hAnsi="Times New Roman"/>
          <w:b/>
          <w:sz w:val="24"/>
          <w:szCs w:val="24"/>
        </w:rPr>
        <w:t>GenMedica</w:t>
      </w:r>
      <w:proofErr w:type="spellEnd"/>
      <w:r w:rsidRPr="00B61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B00">
        <w:rPr>
          <w:rFonts w:ascii="Times New Roman" w:hAnsi="Times New Roman"/>
          <w:b/>
          <w:sz w:val="24"/>
          <w:szCs w:val="24"/>
        </w:rPr>
        <w:t>Baltic</w:t>
      </w:r>
      <w:proofErr w:type="spellEnd"/>
      <w:r w:rsidRPr="00B61B0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iesniegtais tehniskais piedāvājums ir </w:t>
      </w:r>
      <w:r w:rsidRPr="0008160A">
        <w:rPr>
          <w:rFonts w:ascii="Times New Roman" w:hAnsi="Times New Roman"/>
          <w:b/>
          <w:sz w:val="24"/>
          <w:szCs w:val="24"/>
        </w:rPr>
        <w:t>atbilstošs</w:t>
      </w:r>
      <w:r>
        <w:rPr>
          <w:rFonts w:ascii="Times New Roman" w:hAnsi="Times New Roman"/>
          <w:sz w:val="24"/>
          <w:szCs w:val="24"/>
        </w:rPr>
        <w:t xml:space="preserve"> tehniskajā specifikācijā izvirzītajām minimālajām prasībām, savukārt pretendentu</w:t>
      </w:r>
      <w:r w:rsidRPr="000D6EDF">
        <w:rPr>
          <w:rFonts w:ascii="Times New Roman" w:hAnsi="Times New Roman"/>
          <w:sz w:val="24"/>
          <w:szCs w:val="24"/>
        </w:rPr>
        <w:t xml:space="preserve"> </w:t>
      </w:r>
      <w:r w:rsidRPr="001D476E">
        <w:rPr>
          <w:rFonts w:ascii="Times New Roman" w:hAnsi="Times New Roman"/>
          <w:b/>
          <w:sz w:val="24"/>
          <w:szCs w:val="24"/>
        </w:rPr>
        <w:t>SIA “</w:t>
      </w:r>
      <w:proofErr w:type="spellStart"/>
      <w:r>
        <w:rPr>
          <w:rFonts w:ascii="Times New Roman" w:hAnsi="Times New Roman"/>
          <w:b/>
          <w:sz w:val="24"/>
          <w:szCs w:val="24"/>
        </w:rPr>
        <w:t>Faneks</w:t>
      </w:r>
      <w:proofErr w:type="spellEnd"/>
      <w:r w:rsidRPr="001D476E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BAA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b/>
          <w:sz w:val="24"/>
          <w:szCs w:val="24"/>
        </w:rPr>
        <w:t xml:space="preserve"> SIA “</w:t>
      </w:r>
      <w:proofErr w:type="spellStart"/>
      <w:r>
        <w:rPr>
          <w:rFonts w:ascii="Times New Roman" w:hAnsi="Times New Roman"/>
          <w:b/>
          <w:sz w:val="24"/>
          <w:szCs w:val="24"/>
        </w:rPr>
        <w:t>Saint-Tech”</w:t>
      </w:r>
      <w:proofErr w:type="spellEnd"/>
      <w:r>
        <w:rPr>
          <w:rFonts w:ascii="Times New Roman" w:hAnsi="Times New Roman"/>
          <w:sz w:val="24"/>
          <w:szCs w:val="24"/>
        </w:rPr>
        <w:t xml:space="preserve"> tehniskie piedāvājumi ir </w:t>
      </w:r>
      <w:r w:rsidRPr="00B61B00">
        <w:rPr>
          <w:rFonts w:ascii="Times New Roman" w:hAnsi="Times New Roman"/>
          <w:b/>
          <w:sz w:val="24"/>
          <w:szCs w:val="24"/>
        </w:rPr>
        <w:t>neatbilstoši</w:t>
      </w:r>
      <w:r w:rsidRPr="000D6EDF">
        <w:rPr>
          <w:rFonts w:ascii="Times New Roman" w:hAnsi="Times New Roman"/>
          <w:sz w:val="24"/>
          <w:szCs w:val="24"/>
        </w:rPr>
        <w:t xml:space="preserve"> tehniskās specifikācijas izvirzītajām prasībām un tieši:</w:t>
      </w:r>
      <w:r w:rsidRPr="007B240D">
        <w:rPr>
          <w:rFonts w:ascii="Times New Roman" w:hAnsi="Times New Roman"/>
          <w:sz w:val="24"/>
          <w:szCs w:val="24"/>
        </w:rPr>
        <w:t xml:space="preserve"> </w:t>
      </w:r>
    </w:p>
    <w:p w:rsidR="00BF4E2F" w:rsidRPr="00783152" w:rsidRDefault="00BF4E2F" w:rsidP="00BF4E2F">
      <w:pPr>
        <w:pStyle w:val="ListParagraph"/>
        <w:numPr>
          <w:ilvl w:val="0"/>
          <w:numId w:val="14"/>
        </w:numPr>
        <w:rPr>
          <w:rFonts w:ascii="Times New Roman" w:hAnsi="Times New Roman"/>
          <w:i/>
        </w:rPr>
      </w:pPr>
      <w:r w:rsidRPr="00783152">
        <w:rPr>
          <w:rFonts w:ascii="Times New Roman" w:hAnsi="Times New Roman"/>
          <w:b/>
        </w:rPr>
        <w:t>SIA “</w:t>
      </w:r>
      <w:proofErr w:type="spellStart"/>
      <w:r w:rsidRPr="00783152">
        <w:rPr>
          <w:rFonts w:ascii="Times New Roman" w:hAnsi="Times New Roman"/>
          <w:b/>
        </w:rPr>
        <w:t>Faneks</w:t>
      </w:r>
      <w:proofErr w:type="spellEnd"/>
      <w:r w:rsidRPr="00783152">
        <w:rPr>
          <w:rFonts w:ascii="Times New Roman" w:hAnsi="Times New Roman"/>
          <w:b/>
        </w:rPr>
        <w:t>”</w:t>
      </w:r>
      <w:r w:rsidRPr="00783152">
        <w:rPr>
          <w:rFonts w:ascii="Times New Roman" w:hAnsi="Times New Roman"/>
        </w:rPr>
        <w:t xml:space="preserve"> iesniegtais tehniskais piedāvājums neatbilst no</w:t>
      </w:r>
      <w:r>
        <w:rPr>
          <w:rFonts w:ascii="Times New Roman" w:hAnsi="Times New Roman"/>
        </w:rPr>
        <w:t xml:space="preserve">likumā izvirzītajām tehniskajām </w:t>
      </w:r>
      <w:r w:rsidRPr="00783152">
        <w:rPr>
          <w:rFonts w:ascii="Times New Roman" w:hAnsi="Times New Roman"/>
        </w:rPr>
        <w:t xml:space="preserve">specifikācijām: </w:t>
      </w:r>
      <w:r w:rsidRPr="00783152">
        <w:rPr>
          <w:rFonts w:ascii="Times New Roman" w:hAnsi="Times New Roman"/>
        </w:rPr>
        <w:br/>
      </w:r>
      <w:r w:rsidRPr="00783152">
        <w:rPr>
          <w:rFonts w:ascii="Times New Roman" w:hAnsi="Times New Roman"/>
          <w:i/>
        </w:rPr>
        <w:t>“</w:t>
      </w:r>
      <w:r w:rsidRPr="00783152">
        <w:rPr>
          <w:rFonts w:ascii="Times New Roman" w:hAnsi="Times New Roman"/>
          <w:i/>
          <w:lang w:eastAsia="lv-LV"/>
        </w:rPr>
        <w:t xml:space="preserve">2.2.3. Pikseļa izmērs 20x objektīvam (0.5 NA): ne vairāk par 0.32 mikroni/ pikselis -&gt; </w:t>
      </w:r>
      <w:r w:rsidRPr="00783152">
        <w:rPr>
          <w:rFonts w:ascii="Times New Roman" w:hAnsi="Times New Roman"/>
          <w:b/>
          <w:i/>
          <w:lang w:eastAsia="lv-LV"/>
        </w:rPr>
        <w:t>Pretendents savā tehniskajā piedāvājumā piedāvā 0.46mikroni/pikselis, kas pārsniedz tehniskajā specifikācijā prasīto lielumu</w:t>
      </w:r>
      <w:r w:rsidRPr="00783152">
        <w:rPr>
          <w:rFonts w:ascii="Times New Roman" w:hAnsi="Times New Roman"/>
          <w:i/>
          <w:lang w:eastAsia="lv-LV"/>
        </w:rPr>
        <w:t>;</w:t>
      </w:r>
    </w:p>
    <w:p w:rsidR="00BF4E2F" w:rsidRDefault="00BF4E2F" w:rsidP="00BF4E2F">
      <w:pPr>
        <w:pStyle w:val="ListParagraph"/>
        <w:ind w:left="709"/>
        <w:jc w:val="both"/>
        <w:rPr>
          <w:rFonts w:ascii="Times New Roman" w:eastAsia="Calibri" w:hAnsi="Times New Roman" w:cs="Times New Roman"/>
          <w:i/>
          <w:lang w:eastAsia="lv-LV"/>
        </w:rPr>
      </w:pPr>
      <w:r w:rsidRPr="00A63F43">
        <w:rPr>
          <w:rFonts w:ascii="Times New Roman" w:eastAsia="Calibri" w:hAnsi="Times New Roman" w:cs="Times New Roman"/>
          <w:i/>
          <w:lang w:eastAsia="lv-LV"/>
        </w:rPr>
        <w:t>2.2.4. Pikseļa izmērs 40x objektīvam (0.75 NA): ne vairāk</w:t>
      </w:r>
      <w:r>
        <w:rPr>
          <w:rFonts w:ascii="Times New Roman" w:eastAsia="Calibri" w:hAnsi="Times New Roman" w:cs="Times New Roman"/>
          <w:i/>
          <w:lang w:eastAsia="lv-LV"/>
        </w:rPr>
        <w:t xml:space="preserve"> par 0,16 mikroniem/ pikselis  -</w:t>
      </w:r>
      <w:r w:rsidRPr="00A63F43">
        <w:rPr>
          <w:rFonts w:ascii="Times New Roman" w:eastAsia="Calibri" w:hAnsi="Times New Roman" w:cs="Times New Roman"/>
          <w:i/>
          <w:lang w:eastAsia="lv-LV"/>
        </w:rPr>
        <w:t xml:space="preserve">&gt; </w:t>
      </w:r>
      <w:r w:rsidRPr="00374555">
        <w:rPr>
          <w:rFonts w:ascii="Times New Roman" w:eastAsia="Calibri" w:hAnsi="Times New Roman" w:cs="Times New Roman"/>
          <w:b/>
          <w:i/>
          <w:lang w:eastAsia="lv-LV"/>
        </w:rPr>
        <w:t xml:space="preserve">Pretendents savā tehniskajā piedāvājumā piedāvā </w:t>
      </w:r>
      <w:r>
        <w:rPr>
          <w:rFonts w:ascii="Times New Roman" w:eastAsia="Calibri" w:hAnsi="Times New Roman" w:cs="Times New Roman"/>
          <w:b/>
          <w:i/>
          <w:lang w:eastAsia="lv-LV"/>
        </w:rPr>
        <w:t>0.23</w:t>
      </w:r>
      <w:r w:rsidRPr="00374555">
        <w:rPr>
          <w:rFonts w:ascii="Times New Roman" w:eastAsia="Calibri" w:hAnsi="Times New Roman" w:cs="Times New Roman"/>
          <w:b/>
          <w:i/>
          <w:lang w:eastAsia="lv-LV"/>
        </w:rPr>
        <w:t>mikroni/pikselis, kas pārsniedz tehniskajā specifikācijā prasīto lielumu</w:t>
      </w:r>
      <w:r>
        <w:rPr>
          <w:rFonts w:ascii="Times New Roman" w:eastAsia="Calibri" w:hAnsi="Times New Roman" w:cs="Times New Roman"/>
          <w:i/>
          <w:lang w:eastAsia="lv-LV"/>
        </w:rPr>
        <w:t>;</w:t>
      </w:r>
    </w:p>
    <w:p w:rsidR="00BF4E2F" w:rsidRPr="00A63F43" w:rsidRDefault="00BF4E2F" w:rsidP="00BF4E2F">
      <w:pPr>
        <w:pStyle w:val="ListParagraph"/>
        <w:ind w:left="709"/>
        <w:jc w:val="both"/>
        <w:rPr>
          <w:rFonts w:ascii="Times New Roman" w:hAnsi="Times New Roman" w:cs="Times New Roman"/>
          <w:i/>
        </w:rPr>
      </w:pPr>
      <w:r w:rsidRPr="00A63F43">
        <w:rPr>
          <w:rFonts w:ascii="Times New Roman" w:eastAsia="Calibri" w:hAnsi="Times New Roman" w:cs="Times New Roman"/>
          <w:i/>
          <w:lang w:eastAsia="lv-LV"/>
        </w:rPr>
        <w:t xml:space="preserve">2.4.1.  Caurstarojošās gaismas objektīvi: vismaz 20x, 40x, 60x reižu objektīvi -&gt; </w:t>
      </w:r>
      <w:r w:rsidRPr="00374555">
        <w:rPr>
          <w:rFonts w:ascii="Times New Roman" w:eastAsia="Calibri" w:hAnsi="Times New Roman" w:cs="Times New Roman"/>
          <w:b/>
          <w:i/>
          <w:lang w:eastAsia="lv-LV"/>
        </w:rPr>
        <w:t>Pretendents savā tehniskajā piedāvājumā piedāvā Caurstarojošās gaismas objektīvi: 20x, 40x objektīvi;</w:t>
      </w:r>
    </w:p>
    <w:p w:rsidR="00BF4E2F" w:rsidRPr="00A63F43" w:rsidRDefault="00BF4E2F" w:rsidP="00BF4E2F">
      <w:pPr>
        <w:pStyle w:val="ListParagraph"/>
        <w:ind w:left="764"/>
        <w:jc w:val="both"/>
        <w:rPr>
          <w:rFonts w:ascii="Times New Roman" w:eastAsia="Calibri" w:hAnsi="Times New Roman" w:cs="Times New Roman"/>
          <w:i/>
          <w:lang w:eastAsia="lv-LV"/>
        </w:rPr>
      </w:pPr>
      <w:r w:rsidRPr="00A63F43">
        <w:rPr>
          <w:rFonts w:ascii="Times New Roman" w:eastAsia="Calibri" w:hAnsi="Times New Roman" w:cs="Times New Roman"/>
          <w:i/>
          <w:lang w:eastAsia="lv-LV"/>
        </w:rPr>
        <w:t>5.1. Nodrošina attēlu paraugiem ar biezumu vismaz līdz 200 mikroniem</w:t>
      </w:r>
      <w:r>
        <w:rPr>
          <w:rFonts w:ascii="Times New Roman" w:eastAsia="Calibri" w:hAnsi="Times New Roman" w:cs="Times New Roman"/>
          <w:i/>
          <w:lang w:eastAsia="lv-LV"/>
        </w:rPr>
        <w:t xml:space="preserve"> </w:t>
      </w:r>
      <w:r w:rsidRPr="00A63F43">
        <w:rPr>
          <w:rFonts w:ascii="Times New Roman" w:eastAsia="Calibri" w:hAnsi="Times New Roman" w:cs="Times New Roman"/>
          <w:i/>
          <w:lang w:eastAsia="lv-LV"/>
        </w:rPr>
        <w:t xml:space="preserve">-&gt; </w:t>
      </w:r>
      <w:r w:rsidRPr="00371F4A">
        <w:rPr>
          <w:rFonts w:ascii="Times New Roman" w:eastAsia="Calibri" w:hAnsi="Times New Roman" w:cs="Times New Roman"/>
          <w:b/>
          <w:i/>
          <w:lang w:eastAsia="lv-LV"/>
        </w:rPr>
        <w:t xml:space="preserve">Pretendents savā tehniskajā piedāvājumā un tam pievienotajā informatīvajā </w:t>
      </w:r>
      <w:r>
        <w:rPr>
          <w:rFonts w:ascii="Times New Roman" w:eastAsia="Calibri" w:hAnsi="Times New Roman" w:cs="Times New Roman"/>
          <w:b/>
          <w:i/>
          <w:lang w:eastAsia="lv-LV"/>
        </w:rPr>
        <w:t>materiālā</w:t>
      </w:r>
      <w:r w:rsidRPr="00371F4A">
        <w:rPr>
          <w:rFonts w:ascii="Times New Roman" w:eastAsia="Calibri" w:hAnsi="Times New Roman" w:cs="Times New Roman"/>
          <w:b/>
          <w:i/>
          <w:lang w:eastAsia="lv-LV"/>
        </w:rPr>
        <w:t xml:space="preserve"> nav norādījis tehniskajā specifikācijā izvirzīto prasību</w:t>
      </w:r>
      <w:r>
        <w:rPr>
          <w:rFonts w:ascii="Times New Roman" w:eastAsia="Calibri" w:hAnsi="Times New Roman" w:cs="Times New Roman"/>
          <w:i/>
          <w:lang w:eastAsia="lv-LV"/>
        </w:rPr>
        <w:t>;</w:t>
      </w:r>
    </w:p>
    <w:p w:rsidR="00BF4E2F" w:rsidRDefault="00BF4E2F" w:rsidP="00BF4E2F">
      <w:pPr>
        <w:pStyle w:val="ListParagraph"/>
        <w:ind w:left="764"/>
        <w:jc w:val="both"/>
        <w:rPr>
          <w:rFonts w:ascii="Times New Roman" w:eastAsia="Calibri" w:hAnsi="Times New Roman" w:cs="Times New Roman"/>
          <w:i/>
          <w:lang w:eastAsia="lv-LV"/>
        </w:rPr>
      </w:pPr>
      <w:r w:rsidRPr="00A63F43">
        <w:rPr>
          <w:rFonts w:ascii="Times New Roman" w:eastAsia="Calibri" w:hAnsi="Times New Roman" w:cs="Times New Roman"/>
          <w:i/>
          <w:lang w:eastAsia="lv-LV"/>
        </w:rPr>
        <w:t xml:space="preserve">5.3. Skenēšanas režīmi: vismaz 5 dažādi režīmi -&gt; </w:t>
      </w:r>
      <w:r w:rsidRPr="00371F4A">
        <w:rPr>
          <w:rFonts w:ascii="Times New Roman" w:eastAsia="Calibri" w:hAnsi="Times New Roman" w:cs="Times New Roman"/>
          <w:b/>
          <w:i/>
          <w:lang w:eastAsia="lv-LV"/>
        </w:rPr>
        <w:t xml:space="preserve">Pretendents savā tehniskajā piedāvājumā un tam pievienotajā informatīvajā </w:t>
      </w:r>
      <w:r>
        <w:rPr>
          <w:rFonts w:ascii="Times New Roman" w:eastAsia="Calibri" w:hAnsi="Times New Roman" w:cs="Times New Roman"/>
          <w:b/>
          <w:i/>
          <w:lang w:eastAsia="lv-LV"/>
        </w:rPr>
        <w:t>materiālā</w:t>
      </w:r>
      <w:r w:rsidRPr="00371F4A">
        <w:rPr>
          <w:rFonts w:ascii="Times New Roman" w:eastAsia="Calibri" w:hAnsi="Times New Roman" w:cs="Times New Roman"/>
          <w:b/>
          <w:i/>
          <w:lang w:eastAsia="lv-LV"/>
        </w:rPr>
        <w:t xml:space="preserve"> nav norādījis tehniskajā specifikācijā izvirzīto prasību</w:t>
      </w:r>
      <w:r w:rsidRPr="00A63F43">
        <w:rPr>
          <w:rFonts w:ascii="Times New Roman" w:eastAsia="Calibri" w:hAnsi="Times New Roman" w:cs="Times New Roman"/>
          <w:i/>
          <w:lang w:eastAsia="lv-LV"/>
        </w:rPr>
        <w:t>”</w:t>
      </w:r>
      <w:r>
        <w:rPr>
          <w:rFonts w:ascii="Times New Roman" w:eastAsia="Calibri" w:hAnsi="Times New Roman" w:cs="Times New Roman"/>
          <w:i/>
          <w:lang w:eastAsia="lv-LV"/>
        </w:rPr>
        <w:t>.</w:t>
      </w:r>
    </w:p>
    <w:p w:rsidR="00BF4E2F" w:rsidRDefault="00BF4E2F" w:rsidP="00BF4E2F">
      <w:pPr>
        <w:pStyle w:val="ListParagraph"/>
        <w:ind w:left="764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BF4E2F" w:rsidRPr="00783152" w:rsidRDefault="00BF4E2F" w:rsidP="00BF4E2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783152">
        <w:rPr>
          <w:rFonts w:ascii="Times New Roman" w:hAnsi="Times New Roman"/>
          <w:b/>
        </w:rPr>
        <w:t>SIA “</w:t>
      </w:r>
      <w:proofErr w:type="spellStart"/>
      <w:r w:rsidRPr="00783152">
        <w:rPr>
          <w:rFonts w:ascii="Times New Roman" w:hAnsi="Times New Roman"/>
          <w:b/>
        </w:rPr>
        <w:t>Saint-Tech”</w:t>
      </w:r>
      <w:proofErr w:type="spellEnd"/>
      <w:r w:rsidRPr="00783152">
        <w:rPr>
          <w:rFonts w:ascii="Times New Roman" w:hAnsi="Times New Roman"/>
        </w:rPr>
        <w:t xml:space="preserve"> iesniegtais tehniskais piedāvājums neatbilst nolikumā izvirzītajām tehniskajām</w:t>
      </w:r>
      <w:r>
        <w:rPr>
          <w:rFonts w:ascii="Times New Roman" w:hAnsi="Times New Roman"/>
        </w:rPr>
        <w:t xml:space="preserve"> specifikācijām</w:t>
      </w:r>
      <w:r w:rsidRPr="00783152">
        <w:rPr>
          <w:rFonts w:ascii="Times New Roman" w:hAnsi="Times New Roman"/>
        </w:rPr>
        <w:t>: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63F43">
        <w:rPr>
          <w:rFonts w:ascii="Times New Roman" w:hAnsi="Times New Roman"/>
          <w:i/>
          <w:sz w:val="24"/>
          <w:szCs w:val="24"/>
          <w:lang w:eastAsia="lv-LV"/>
        </w:rPr>
        <w:t>“2.1.2. Galdiņā jābūt iespēja novietot:</w:t>
      </w:r>
      <w:r w:rsidRPr="00A63F43">
        <w:rPr>
          <w:rFonts w:ascii="Times New Roman" w:hAnsi="Times New Roman"/>
          <w:i/>
          <w:sz w:val="24"/>
          <w:szCs w:val="24"/>
        </w:rPr>
        <w:t xml:space="preserve"> </w:t>
      </w:r>
      <w:r w:rsidRPr="00A63F43">
        <w:rPr>
          <w:rFonts w:ascii="Times New Roman" w:hAnsi="Times New Roman"/>
          <w:i/>
          <w:sz w:val="24"/>
          <w:szCs w:val="24"/>
          <w:lang w:eastAsia="lv-LV"/>
        </w:rPr>
        <w:t xml:space="preserve">b) vismaz 1 slaidu ar izmēriem platumā vismaz no 5mm līdz 51mm, garumā vismaz no 5mm līdz 76mm. -&gt; 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Pretendenta tehniskajā piedāvājumā norādītie </w:t>
      </w:r>
      <w:proofErr w:type="gramStart"/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>1 slaida izmēri</w:t>
      </w:r>
      <w:proofErr w:type="gramEnd"/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 neatbilst platuma un garuma diapazons</w:t>
      </w:r>
      <w:r w:rsidRPr="00A63F43">
        <w:rPr>
          <w:rFonts w:ascii="Times New Roman" w:hAnsi="Times New Roman"/>
          <w:i/>
          <w:sz w:val="24"/>
          <w:szCs w:val="24"/>
          <w:lang w:eastAsia="lv-LV"/>
        </w:rPr>
        <w:t>; 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71F4A">
        <w:rPr>
          <w:rFonts w:ascii="Times New Roman" w:hAnsi="Times New Roman"/>
          <w:i/>
          <w:sz w:val="24"/>
          <w:szCs w:val="24"/>
          <w:lang w:eastAsia="lv-LV"/>
        </w:rPr>
        <w:t xml:space="preserve">2.1.4.X-ass gājiena diapazons: vismaz no 0 līdz 75 mm -&gt; 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Pretendents savā tehniskajā piedāvājumā un tam pievienotajā informatīvajā </w:t>
      </w:r>
      <w:r>
        <w:rPr>
          <w:rFonts w:ascii="Times New Roman" w:hAnsi="Times New Roman"/>
          <w:b/>
          <w:i/>
          <w:sz w:val="24"/>
          <w:szCs w:val="24"/>
          <w:lang w:eastAsia="lv-LV"/>
        </w:rPr>
        <w:t>materiālā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 nav norādījis tehniskajā specifikācijā izvirzīto prasību</w:t>
      </w:r>
      <w:r w:rsidRPr="00371F4A">
        <w:rPr>
          <w:rFonts w:ascii="Times New Roman" w:hAnsi="Times New Roman"/>
          <w:i/>
          <w:sz w:val="24"/>
          <w:szCs w:val="24"/>
          <w:lang w:eastAsia="lv-LV"/>
        </w:rPr>
        <w:t>;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161AC">
        <w:rPr>
          <w:rFonts w:ascii="Times New Roman" w:hAnsi="Times New Roman"/>
          <w:i/>
          <w:sz w:val="24"/>
          <w:szCs w:val="24"/>
          <w:lang w:eastAsia="lv-LV"/>
        </w:rPr>
        <w:t xml:space="preserve">2.1.5.Y-ass gājiens diapazons: vismaz no 0 līdz 50 mm  -&gt; 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Pretendents savā tehniskajā piedāvājumā un tam pievienotajā informatīvajā </w:t>
      </w:r>
      <w:r>
        <w:rPr>
          <w:rFonts w:ascii="Times New Roman" w:hAnsi="Times New Roman"/>
          <w:b/>
          <w:i/>
          <w:sz w:val="24"/>
          <w:szCs w:val="24"/>
          <w:lang w:eastAsia="lv-LV"/>
        </w:rPr>
        <w:t>materiālā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 nav norādījis tehniskajā specifikācijā izvirzīto prasību</w:t>
      </w:r>
      <w:r w:rsidRPr="003161AC">
        <w:rPr>
          <w:rFonts w:ascii="Times New Roman" w:hAnsi="Times New Roman"/>
          <w:i/>
          <w:sz w:val="24"/>
          <w:szCs w:val="24"/>
          <w:lang w:eastAsia="lv-LV"/>
        </w:rPr>
        <w:t>;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63F43">
        <w:rPr>
          <w:rFonts w:ascii="Times New Roman" w:hAnsi="Times New Roman"/>
          <w:i/>
          <w:sz w:val="24"/>
          <w:szCs w:val="24"/>
          <w:lang w:eastAsia="lv-LV"/>
        </w:rPr>
        <w:t>2.2.3.Pikseļa izmērs 20x objektīvam (0.5 NA): ne vairāk par 0.32 mikroni/ pikselis -&gt;  </w:t>
      </w:r>
      <w:r w:rsidRPr="00374555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Pretendents savā tehniskajā piedāvājumā piedāvā </w:t>
      </w:r>
      <w:r>
        <w:rPr>
          <w:rFonts w:ascii="Times New Roman" w:hAnsi="Times New Roman"/>
          <w:b/>
          <w:i/>
          <w:sz w:val="24"/>
          <w:szCs w:val="24"/>
          <w:lang w:eastAsia="lv-LV"/>
        </w:rPr>
        <w:t xml:space="preserve">0.33mikroni/pikselis, </w:t>
      </w:r>
      <w:r w:rsidRPr="00374555">
        <w:rPr>
          <w:rFonts w:ascii="Times New Roman" w:hAnsi="Times New Roman"/>
          <w:b/>
          <w:i/>
          <w:sz w:val="24"/>
          <w:szCs w:val="24"/>
          <w:lang w:eastAsia="lv-LV"/>
        </w:rPr>
        <w:t>kas pārsniedz tehniskajā specifikācijā prasīto lielumu</w:t>
      </w:r>
      <w:r w:rsidRPr="00A63F43">
        <w:rPr>
          <w:rFonts w:ascii="Times New Roman" w:hAnsi="Times New Roman"/>
          <w:i/>
          <w:sz w:val="24"/>
          <w:szCs w:val="24"/>
          <w:lang w:eastAsia="lv-LV"/>
        </w:rPr>
        <w:t>;  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65372">
        <w:rPr>
          <w:rFonts w:ascii="Times New Roman" w:hAnsi="Times New Roman"/>
          <w:i/>
          <w:sz w:val="24"/>
          <w:szCs w:val="24"/>
          <w:lang w:eastAsia="lv-LV"/>
        </w:rPr>
        <w:t xml:space="preserve">2.3.1. Ir vismaz 2 kameras: galvenā kamera un pārskata kamera -&gt; </w:t>
      </w:r>
      <w:r w:rsidRPr="00165372">
        <w:rPr>
          <w:rFonts w:ascii="Times New Roman" w:hAnsi="Times New Roman"/>
          <w:b/>
          <w:i/>
          <w:sz w:val="24"/>
          <w:szCs w:val="24"/>
          <w:lang w:eastAsia="lv-LV"/>
        </w:rPr>
        <w:t>Pretendents savā tehniskajā piedāvājumā norādījis, ka piedāvā tikai 1 kameru</w:t>
      </w:r>
      <w:r w:rsidRPr="00165372">
        <w:rPr>
          <w:rFonts w:ascii="Times New Roman" w:hAnsi="Times New Roman"/>
          <w:i/>
          <w:sz w:val="24"/>
          <w:szCs w:val="24"/>
          <w:lang w:eastAsia="lv-LV"/>
        </w:rPr>
        <w:t>;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65372">
        <w:rPr>
          <w:rFonts w:ascii="Times New Roman" w:hAnsi="Times New Roman"/>
          <w:i/>
          <w:sz w:val="24"/>
          <w:szCs w:val="24"/>
          <w:lang w:eastAsia="lv-LV"/>
        </w:rPr>
        <w:t>2.3.9. Krāsu dziļums (kamera): vismaz 12 bit-&gt;</w:t>
      </w:r>
      <w:r w:rsidRPr="001C3C9E">
        <w:rPr>
          <w:rFonts w:ascii="Times New Roman" w:hAnsi="Times New Roman"/>
          <w:b/>
          <w:i/>
          <w:sz w:val="24"/>
          <w:szCs w:val="24"/>
          <w:lang w:eastAsia="lv-LV"/>
        </w:rPr>
        <w:t xml:space="preserve"> 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Pretendents savā tehniskajā piedāvājumā un tam pievienotajā informatīvajā </w:t>
      </w:r>
      <w:r>
        <w:rPr>
          <w:rFonts w:ascii="Times New Roman" w:hAnsi="Times New Roman"/>
          <w:b/>
          <w:i/>
          <w:sz w:val="24"/>
          <w:szCs w:val="24"/>
          <w:lang w:eastAsia="lv-LV"/>
        </w:rPr>
        <w:t>materiālā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 nav norādījis tehniskajā specifikācijā izvirzīto prasību</w:t>
      </w:r>
      <w:r w:rsidRPr="00165372">
        <w:rPr>
          <w:rFonts w:ascii="Times New Roman" w:hAnsi="Times New Roman"/>
          <w:i/>
          <w:sz w:val="24"/>
          <w:szCs w:val="24"/>
          <w:lang w:eastAsia="lv-LV"/>
        </w:rPr>
        <w:t>;</w:t>
      </w:r>
    </w:p>
    <w:p w:rsidR="00BF4E2F" w:rsidRPr="00A63F43" w:rsidRDefault="00BF4E2F" w:rsidP="00BF4E2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63F43">
        <w:rPr>
          <w:rFonts w:ascii="Times New Roman" w:hAnsi="Times New Roman"/>
          <w:i/>
          <w:sz w:val="24"/>
          <w:szCs w:val="24"/>
          <w:lang w:eastAsia="lv-LV"/>
        </w:rPr>
        <w:t>5.Skeneris:</w:t>
      </w:r>
    </w:p>
    <w:p w:rsidR="00BF4E2F" w:rsidRDefault="00BF4E2F" w:rsidP="00BF4E2F">
      <w:pPr>
        <w:spacing w:after="0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A63F43">
        <w:rPr>
          <w:rFonts w:ascii="Times New Roman" w:hAnsi="Times New Roman"/>
          <w:i/>
          <w:sz w:val="24"/>
          <w:szCs w:val="24"/>
          <w:lang w:eastAsia="lv-LV"/>
        </w:rPr>
        <w:t xml:space="preserve">5.1.Nodrošina attēlu paraugiem ar biezumu vismaz līdz 200 mikroniem-&gt; 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Pretendents savā tehniskajā piedāvājumā un tam pievienotajā informatīvajā </w:t>
      </w:r>
      <w:r>
        <w:rPr>
          <w:rFonts w:ascii="Times New Roman" w:hAnsi="Times New Roman"/>
          <w:b/>
          <w:i/>
          <w:sz w:val="24"/>
          <w:szCs w:val="24"/>
          <w:lang w:eastAsia="lv-LV"/>
        </w:rPr>
        <w:t>materiālā</w:t>
      </w:r>
      <w:r w:rsidRPr="00371F4A">
        <w:rPr>
          <w:rFonts w:ascii="Times New Roman" w:hAnsi="Times New Roman"/>
          <w:b/>
          <w:i/>
          <w:sz w:val="24"/>
          <w:szCs w:val="24"/>
          <w:lang w:eastAsia="lv-LV"/>
        </w:rPr>
        <w:t xml:space="preserve"> nav norādījis tehniskajā specifikācijā izvirzīto prasību</w:t>
      </w:r>
      <w:r w:rsidRPr="00A63F43">
        <w:rPr>
          <w:rFonts w:ascii="Times New Roman" w:hAnsi="Times New Roman"/>
          <w:i/>
          <w:sz w:val="24"/>
          <w:szCs w:val="24"/>
          <w:lang w:eastAsia="lv-LV"/>
        </w:rPr>
        <w:t>”.</w:t>
      </w:r>
    </w:p>
    <w:p w:rsidR="00BF4E2F" w:rsidRDefault="00BF4E2F" w:rsidP="00BF4E2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BF4E2F" w:rsidRDefault="00BF4E2F" w:rsidP="00BF4E2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Atbilstoši nolikuma 7.6.punktam </w:t>
      </w:r>
      <w:r w:rsidRPr="0026347E">
        <w:rPr>
          <w:rFonts w:ascii="Times New Roman" w:hAnsi="Times New Roman"/>
          <w:i/>
          <w:sz w:val="24"/>
          <w:szCs w:val="24"/>
        </w:rPr>
        <w:t>“Komisijai ir tiesības atteikties no tālākas piedāvājuma izvērtēšanas gadījumā, ja tiek konstatēts, ka piedāvājums neatbilst kādai no šajā iepirkuma nolikumā noteiktajām prasībām”.</w:t>
      </w:r>
    </w:p>
    <w:p w:rsidR="007C6B89" w:rsidRDefault="007C6B89" w:rsidP="007C6B89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C60F8C" w:rsidRDefault="007C6B89" w:rsidP="007C6B89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14D39">
        <w:rPr>
          <w:rFonts w:ascii="Times New Roman" w:eastAsiaTheme="minorHAnsi" w:hAnsi="Times New Roman"/>
          <w:sz w:val="24"/>
          <w:szCs w:val="24"/>
        </w:rPr>
        <w:t xml:space="preserve">Atbilstoši nolikuma </w:t>
      </w:r>
      <w:r>
        <w:rPr>
          <w:rFonts w:ascii="Times New Roman" w:eastAsiaTheme="minorHAnsi" w:hAnsi="Times New Roman"/>
          <w:sz w:val="24"/>
          <w:szCs w:val="24"/>
        </w:rPr>
        <w:t>6.1.</w:t>
      </w:r>
      <w:r w:rsidRPr="00614D39">
        <w:rPr>
          <w:rFonts w:ascii="Times New Roman" w:eastAsiaTheme="minorHAnsi" w:hAnsi="Times New Roman"/>
          <w:sz w:val="24"/>
          <w:szCs w:val="24"/>
        </w:rPr>
        <w:t xml:space="preserve">punktam: </w:t>
      </w:r>
      <w:r w:rsidRPr="00615F62">
        <w:rPr>
          <w:rFonts w:ascii="Times New Roman" w:eastAsiaTheme="minorHAnsi" w:hAnsi="Times New Roman"/>
          <w:i/>
          <w:sz w:val="24"/>
          <w:szCs w:val="24"/>
        </w:rPr>
        <w:t>“</w:t>
      </w:r>
      <w:r w:rsidRPr="007C0129">
        <w:rPr>
          <w:rFonts w:ascii="Times New Roman" w:hAnsi="Times New Roman"/>
          <w:i/>
          <w:color w:val="000000"/>
          <w:sz w:val="24"/>
          <w:szCs w:val="24"/>
        </w:rPr>
        <w:t xml:space="preserve">Saskaņā ar PIL </w:t>
      </w:r>
      <w:proofErr w:type="gramStart"/>
      <w:r w:rsidRPr="007C0129">
        <w:rPr>
          <w:rFonts w:ascii="Times New Roman" w:hAnsi="Times New Roman"/>
          <w:i/>
          <w:color w:val="000000"/>
          <w:sz w:val="24"/>
          <w:szCs w:val="24"/>
        </w:rPr>
        <w:t>51.panta</w:t>
      </w:r>
      <w:proofErr w:type="gramEnd"/>
      <w:r w:rsidRPr="007C0129">
        <w:rPr>
          <w:rFonts w:ascii="Times New Roman" w:hAnsi="Times New Roman"/>
          <w:i/>
          <w:color w:val="000000"/>
          <w:sz w:val="24"/>
          <w:szCs w:val="24"/>
        </w:rPr>
        <w:t xml:space="preserve"> ceturto daļu, piedāvājuma izvēles kritērijs ir saimnieciski izdevīgākais piedāvājums. Pasūtītājs atklāta konkursa ietvaros piedāvājumu salīdzināšanai un </w:t>
      </w:r>
      <w:r w:rsidRPr="007C0129">
        <w:rPr>
          <w:rFonts w:ascii="Times New Roman" w:hAnsi="Times New Roman"/>
          <w:b/>
          <w:i/>
          <w:color w:val="000000"/>
          <w:sz w:val="24"/>
          <w:szCs w:val="24"/>
        </w:rPr>
        <w:t xml:space="preserve">izvērtēšanai izmantos tikai cenu - </w:t>
      </w:r>
      <w:r w:rsidRPr="007C0129">
        <w:rPr>
          <w:rFonts w:ascii="Times New Roman" w:hAnsi="Times New Roman"/>
          <w:b/>
          <w:i/>
          <w:sz w:val="24"/>
          <w:szCs w:val="24"/>
          <w:u w:val="single"/>
          <w:lang w:eastAsia="lv-LV"/>
        </w:rPr>
        <w:t>zemākā piedāvātā kopējā cena EUR (bez PVN)</w:t>
      </w:r>
      <w:r w:rsidRPr="007C012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C0129">
        <w:rPr>
          <w:rFonts w:ascii="Times New Roman" w:hAnsi="Times New Roman"/>
          <w:b/>
          <w:i/>
          <w:color w:val="000000"/>
          <w:sz w:val="24"/>
          <w:szCs w:val="24"/>
        </w:rPr>
        <w:t>jo sagatavotā tehniskā specifikācija ir detalizēta un citiem kritērijiem nav būtiskas nozīmes piedāvājuma izvēlē</w:t>
      </w:r>
      <w:r w:rsidRPr="00615F62">
        <w:rPr>
          <w:rFonts w:ascii="Times New Roman" w:eastAsiaTheme="minorHAnsi" w:hAnsi="Times New Roman"/>
          <w:i/>
          <w:sz w:val="24"/>
          <w:szCs w:val="24"/>
        </w:rPr>
        <w:t>”</w:t>
      </w:r>
      <w:r w:rsidRPr="00614D39">
        <w:rPr>
          <w:rFonts w:ascii="Times New Roman" w:eastAsiaTheme="minorHAnsi" w:hAnsi="Times New Roman"/>
          <w:sz w:val="24"/>
          <w:szCs w:val="24"/>
        </w:rPr>
        <w:t>.</w:t>
      </w:r>
    </w:p>
    <w:p w:rsidR="00EB14EA" w:rsidRPr="00EB14EA" w:rsidRDefault="006F015D" w:rsidP="007224F9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F015D">
        <w:rPr>
          <w:rFonts w:ascii="Times New Roman" w:eastAsiaTheme="minorHAnsi" w:hAnsi="Times New Roman"/>
          <w:sz w:val="24"/>
          <w:szCs w:val="24"/>
        </w:rPr>
        <w:t>Komisija, atbilstoši nolikuma 6</w:t>
      </w:r>
      <w:r w:rsidR="00C25DD2">
        <w:rPr>
          <w:rFonts w:ascii="Times New Roman" w:eastAsiaTheme="minorHAnsi" w:hAnsi="Times New Roman"/>
          <w:sz w:val="24"/>
          <w:szCs w:val="24"/>
        </w:rPr>
        <w:t>.1.</w:t>
      </w:r>
      <w:r>
        <w:rPr>
          <w:rFonts w:ascii="Times New Roman" w:eastAsiaTheme="minorHAnsi" w:hAnsi="Times New Roman"/>
          <w:sz w:val="24"/>
          <w:szCs w:val="24"/>
        </w:rPr>
        <w:t>punktam, nolēma</w:t>
      </w:r>
      <w:r w:rsidRPr="006F015D">
        <w:rPr>
          <w:rFonts w:ascii="Times New Roman" w:eastAsiaTheme="minorHAnsi" w:hAnsi="Times New Roman"/>
          <w:sz w:val="24"/>
          <w:szCs w:val="24"/>
        </w:rPr>
        <w:t xml:space="preserve">, ka par pretendentu, kuram būtu piešķiramas </w:t>
      </w:r>
      <w:r w:rsidR="007C0129">
        <w:rPr>
          <w:rFonts w:ascii="Times New Roman" w:eastAsiaTheme="minorHAnsi" w:hAnsi="Times New Roman"/>
          <w:sz w:val="24"/>
          <w:szCs w:val="24"/>
        </w:rPr>
        <w:t>līguma</w:t>
      </w:r>
      <w:r w:rsidRPr="006F015D">
        <w:rPr>
          <w:rFonts w:ascii="Times New Roman" w:eastAsiaTheme="minorHAnsi" w:hAnsi="Times New Roman"/>
          <w:sz w:val="24"/>
          <w:szCs w:val="24"/>
        </w:rPr>
        <w:t xml:space="preserve"> slēgšanas tiesības atzīstams </w:t>
      </w:r>
      <w:r w:rsidR="00CC1F4B">
        <w:rPr>
          <w:rFonts w:ascii="Times New Roman" w:eastAsiaTheme="minorHAnsi" w:hAnsi="Times New Roman"/>
          <w:b/>
          <w:sz w:val="24"/>
          <w:szCs w:val="24"/>
        </w:rPr>
        <w:t>SIA “</w:t>
      </w:r>
      <w:proofErr w:type="spellStart"/>
      <w:r w:rsidR="007C0129">
        <w:rPr>
          <w:rFonts w:ascii="Times New Roman" w:eastAsiaTheme="minorHAnsi" w:hAnsi="Times New Roman"/>
          <w:b/>
          <w:sz w:val="24"/>
          <w:szCs w:val="24"/>
        </w:rPr>
        <w:t>GenMedica</w:t>
      </w:r>
      <w:proofErr w:type="spellEnd"/>
      <w:r w:rsidR="007C012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7C0129">
        <w:rPr>
          <w:rFonts w:ascii="Times New Roman" w:eastAsiaTheme="minorHAnsi" w:hAnsi="Times New Roman"/>
          <w:b/>
          <w:sz w:val="24"/>
          <w:szCs w:val="24"/>
        </w:rPr>
        <w:t>Baltic</w:t>
      </w:r>
      <w:proofErr w:type="spellEnd"/>
      <w:r w:rsidR="00010CFB">
        <w:rPr>
          <w:rFonts w:ascii="Times New Roman" w:eastAsiaTheme="minorHAnsi" w:hAnsi="Times New Roman"/>
          <w:b/>
          <w:sz w:val="24"/>
          <w:szCs w:val="24"/>
        </w:rPr>
        <w:t>”</w:t>
      </w:r>
      <w:r w:rsidR="007B7B5F">
        <w:rPr>
          <w:rFonts w:ascii="Times New Roman" w:eastAsiaTheme="minorHAnsi" w:hAnsi="Times New Roman"/>
          <w:sz w:val="24"/>
          <w:szCs w:val="24"/>
        </w:rPr>
        <w:t>.</w:t>
      </w:r>
    </w:p>
    <w:p w:rsidR="00EB14EA" w:rsidRPr="00EB14EA" w:rsidRDefault="006F015D" w:rsidP="00EB14EA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6F015D">
        <w:rPr>
          <w:rFonts w:ascii="Times New Roman" w:hAnsi="Times New Roman"/>
          <w:sz w:val="24"/>
          <w:szCs w:val="24"/>
        </w:rPr>
        <w:t>Iepirkumu komisija konstatē</w:t>
      </w:r>
      <w:r>
        <w:rPr>
          <w:rFonts w:ascii="Times New Roman" w:hAnsi="Times New Roman"/>
          <w:sz w:val="24"/>
          <w:szCs w:val="24"/>
        </w:rPr>
        <w:t>ja</w:t>
      </w:r>
      <w:r w:rsidRPr="006F015D">
        <w:rPr>
          <w:rFonts w:ascii="Times New Roman" w:hAnsi="Times New Roman"/>
          <w:sz w:val="24"/>
          <w:szCs w:val="24"/>
        </w:rPr>
        <w:t xml:space="preserve">, ka atbilstoši PIL </w:t>
      </w:r>
      <w:proofErr w:type="gramStart"/>
      <w:r w:rsidR="00615F62">
        <w:rPr>
          <w:rFonts w:ascii="Times New Roman" w:hAnsi="Times New Roman"/>
          <w:sz w:val="24"/>
          <w:szCs w:val="24"/>
        </w:rPr>
        <w:t>9.panta</w:t>
      </w:r>
      <w:proofErr w:type="gramEnd"/>
      <w:r w:rsidR="00615F62">
        <w:rPr>
          <w:rFonts w:ascii="Times New Roman" w:hAnsi="Times New Roman"/>
          <w:sz w:val="24"/>
          <w:szCs w:val="24"/>
        </w:rPr>
        <w:t xml:space="preserve"> divdesmit pirmās </w:t>
      </w:r>
      <w:r w:rsidRPr="006F015D">
        <w:rPr>
          <w:rFonts w:ascii="Times New Roman" w:hAnsi="Times New Roman"/>
          <w:sz w:val="24"/>
          <w:szCs w:val="24"/>
        </w:rPr>
        <w:t xml:space="preserve">daļas 1.punktam, pasūtītājs ir tiesīgs nepiemērot </w:t>
      </w:r>
      <w:r w:rsidR="00615F62">
        <w:rPr>
          <w:rFonts w:ascii="Times New Roman" w:hAnsi="Times New Roman"/>
          <w:sz w:val="24"/>
          <w:szCs w:val="24"/>
        </w:rPr>
        <w:t xml:space="preserve">PIL </w:t>
      </w:r>
      <w:r w:rsidRPr="006F015D">
        <w:rPr>
          <w:rFonts w:ascii="Times New Roman" w:hAnsi="Times New Roman"/>
          <w:sz w:val="24"/>
          <w:szCs w:val="24"/>
        </w:rPr>
        <w:t xml:space="preserve">9.panta astotās daļas noteikumus, ja iepirkums atbilst PIL 8.panta septītās daļas </w:t>
      </w:r>
      <w:r w:rsidR="003F7B66">
        <w:rPr>
          <w:rFonts w:ascii="Times New Roman" w:hAnsi="Times New Roman"/>
          <w:sz w:val="24"/>
          <w:szCs w:val="24"/>
        </w:rPr>
        <w:t>2</w:t>
      </w:r>
      <w:r w:rsidR="00615F62">
        <w:rPr>
          <w:rFonts w:ascii="Times New Roman" w:hAnsi="Times New Roman"/>
          <w:sz w:val="24"/>
          <w:szCs w:val="24"/>
        </w:rPr>
        <w:t>.</w:t>
      </w:r>
      <w:r w:rsidR="003F7B66">
        <w:rPr>
          <w:rFonts w:ascii="Times New Roman" w:hAnsi="Times New Roman"/>
          <w:sz w:val="24"/>
          <w:szCs w:val="24"/>
        </w:rPr>
        <w:t xml:space="preserve"> </w:t>
      </w:r>
      <w:r w:rsidR="00615F62">
        <w:rPr>
          <w:rFonts w:ascii="Times New Roman" w:hAnsi="Times New Roman"/>
          <w:sz w:val="24"/>
          <w:szCs w:val="24"/>
        </w:rPr>
        <w:t xml:space="preserve">punkta </w:t>
      </w:r>
      <w:r w:rsidR="003F7B66">
        <w:rPr>
          <w:rFonts w:ascii="Times New Roman" w:hAnsi="Times New Roman"/>
          <w:sz w:val="24"/>
          <w:szCs w:val="24"/>
        </w:rPr>
        <w:t xml:space="preserve">b) un c) apakšpunktu </w:t>
      </w:r>
      <w:r w:rsidRPr="006F015D">
        <w:rPr>
          <w:rFonts w:ascii="Times New Roman" w:hAnsi="Times New Roman"/>
          <w:sz w:val="24"/>
          <w:szCs w:val="24"/>
        </w:rPr>
        <w:t>nosacījumiem, t.i. pasūtītāj</w:t>
      </w:r>
      <w:r w:rsidR="00615F62">
        <w:rPr>
          <w:rFonts w:ascii="Times New Roman" w:hAnsi="Times New Roman"/>
          <w:sz w:val="24"/>
          <w:szCs w:val="24"/>
        </w:rPr>
        <w:t>s ir tiesīgs nepārbaudīt PIL 9.</w:t>
      </w:r>
      <w:r w:rsidRPr="006F015D">
        <w:rPr>
          <w:rFonts w:ascii="Times New Roman" w:hAnsi="Times New Roman"/>
          <w:sz w:val="24"/>
          <w:szCs w:val="24"/>
        </w:rPr>
        <w:t>panta astotajā daļa norādīto izslēgšanas gadījumu esamību PIL 9.</w:t>
      </w:r>
      <w:r w:rsidRPr="006F01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F015D">
        <w:rPr>
          <w:rFonts w:ascii="Times New Roman" w:hAnsi="Times New Roman"/>
          <w:sz w:val="24"/>
          <w:szCs w:val="24"/>
        </w:rPr>
        <w:t>panta devītajā daļā noteiktajā kārtībā</w:t>
      </w:r>
      <w:r w:rsidR="00241B66">
        <w:rPr>
          <w:rFonts w:ascii="Times New Roman" w:hAnsi="Times New Roman"/>
          <w:sz w:val="24"/>
          <w:szCs w:val="24"/>
        </w:rPr>
        <w:t>.</w:t>
      </w:r>
    </w:p>
    <w:p w:rsidR="00DD668B" w:rsidRDefault="00DD668B" w:rsidP="007224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4FA8">
        <w:rPr>
          <w:rFonts w:ascii="Times New Roman" w:hAnsi="Times New Roman"/>
          <w:sz w:val="24"/>
          <w:szCs w:val="24"/>
        </w:rPr>
        <w:t>Ņemot vērā iepriekš minēto, pamatojoties uz</w:t>
      </w:r>
      <w:r w:rsidR="007E02F4" w:rsidRPr="00084FA8">
        <w:rPr>
          <w:rFonts w:ascii="Times New Roman" w:hAnsi="Times New Roman"/>
          <w:sz w:val="24"/>
          <w:szCs w:val="24"/>
        </w:rPr>
        <w:t xml:space="preserve"> PIL </w:t>
      </w:r>
      <w:proofErr w:type="gramStart"/>
      <w:r w:rsidR="00615F62">
        <w:rPr>
          <w:rFonts w:ascii="Times New Roman" w:hAnsi="Times New Roman"/>
          <w:sz w:val="24"/>
          <w:szCs w:val="24"/>
        </w:rPr>
        <w:t>9.</w:t>
      </w:r>
      <w:r w:rsidR="00241B66" w:rsidRPr="00084FA8">
        <w:rPr>
          <w:rFonts w:ascii="Times New Roman" w:hAnsi="Times New Roman"/>
          <w:sz w:val="24"/>
          <w:szCs w:val="24"/>
        </w:rPr>
        <w:t>panta</w:t>
      </w:r>
      <w:proofErr w:type="gramEnd"/>
      <w:r w:rsidR="00241B66" w:rsidRPr="00084FA8">
        <w:rPr>
          <w:rFonts w:ascii="Times New Roman" w:hAnsi="Times New Roman"/>
          <w:sz w:val="24"/>
          <w:szCs w:val="24"/>
        </w:rPr>
        <w:t xml:space="preserve"> trīspadsmito daļu</w:t>
      </w:r>
      <w:r w:rsidR="006F015D">
        <w:rPr>
          <w:rFonts w:ascii="Times New Roman" w:hAnsi="Times New Roman"/>
          <w:sz w:val="24"/>
          <w:szCs w:val="24"/>
        </w:rPr>
        <w:t xml:space="preserve"> un nolikuma 6</w:t>
      </w:r>
      <w:r w:rsidR="00614D39">
        <w:rPr>
          <w:rFonts w:ascii="Times New Roman" w:hAnsi="Times New Roman"/>
          <w:sz w:val="24"/>
          <w:szCs w:val="24"/>
        </w:rPr>
        <w:t>.1.punktu</w:t>
      </w:r>
      <w:r w:rsidRPr="00084FA8">
        <w:rPr>
          <w:rFonts w:ascii="Times New Roman" w:hAnsi="Times New Roman"/>
          <w:sz w:val="24"/>
          <w:szCs w:val="24"/>
        </w:rPr>
        <w:t>,  komisija</w:t>
      </w:r>
      <w:r w:rsidR="00FB3FE0">
        <w:rPr>
          <w:rFonts w:ascii="Times New Roman" w:hAnsi="Times New Roman"/>
          <w:sz w:val="24"/>
          <w:szCs w:val="24"/>
        </w:rPr>
        <w:t>:</w:t>
      </w:r>
    </w:p>
    <w:p w:rsidR="00DD668B" w:rsidRPr="00084FA8" w:rsidRDefault="00DD668B" w:rsidP="00DD6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FA8">
        <w:rPr>
          <w:rFonts w:ascii="Times New Roman" w:hAnsi="Times New Roman"/>
          <w:b/>
          <w:sz w:val="24"/>
          <w:szCs w:val="24"/>
        </w:rPr>
        <w:t>NOLĒMA:</w:t>
      </w:r>
    </w:p>
    <w:p w:rsidR="00DD668B" w:rsidRPr="00084FA8" w:rsidRDefault="00DD668B" w:rsidP="00DD6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B66" w:rsidRDefault="006F015D" w:rsidP="00241B66">
      <w:pPr>
        <w:jc w:val="both"/>
        <w:rPr>
          <w:rFonts w:ascii="Times New Roman" w:hAnsi="Times New Roman"/>
          <w:b/>
          <w:sz w:val="24"/>
          <w:szCs w:val="24"/>
        </w:rPr>
      </w:pPr>
      <w:r w:rsidRPr="006F015D">
        <w:rPr>
          <w:rFonts w:ascii="Times New Roman" w:hAnsi="Times New Roman"/>
          <w:b/>
          <w:bCs/>
          <w:sz w:val="24"/>
          <w:szCs w:val="24"/>
        </w:rPr>
        <w:t xml:space="preserve">saskaņā ar </w:t>
      </w:r>
      <w:r w:rsidR="00615F62">
        <w:rPr>
          <w:rFonts w:ascii="Times New Roman" w:hAnsi="Times New Roman"/>
          <w:b/>
          <w:bCs/>
          <w:sz w:val="24"/>
          <w:szCs w:val="24"/>
        </w:rPr>
        <w:t xml:space="preserve">PIL </w:t>
      </w:r>
      <w:proofErr w:type="gramStart"/>
      <w:r w:rsidR="00615F62">
        <w:rPr>
          <w:rFonts w:ascii="Times New Roman" w:hAnsi="Times New Roman"/>
          <w:b/>
          <w:bCs/>
          <w:sz w:val="24"/>
          <w:szCs w:val="24"/>
        </w:rPr>
        <w:t>9.</w:t>
      </w:r>
      <w:r w:rsidRPr="006F015D">
        <w:rPr>
          <w:rFonts w:ascii="Times New Roman" w:hAnsi="Times New Roman"/>
          <w:b/>
          <w:bCs/>
          <w:sz w:val="24"/>
          <w:szCs w:val="24"/>
        </w:rPr>
        <w:t>panta</w:t>
      </w:r>
      <w:proofErr w:type="gramEnd"/>
      <w:r w:rsidRPr="006F015D">
        <w:rPr>
          <w:rFonts w:ascii="Times New Roman" w:hAnsi="Times New Roman"/>
          <w:b/>
          <w:bCs/>
          <w:sz w:val="24"/>
          <w:szCs w:val="24"/>
        </w:rPr>
        <w:t xml:space="preserve"> trīspadsmito daļu un nolikuma 6.1.punktu par uzvarētāju iepirkuma atzīt </w:t>
      </w:r>
      <w:r w:rsidR="004C578A">
        <w:rPr>
          <w:rFonts w:ascii="Times New Roman" w:hAnsi="Times New Roman"/>
          <w:b/>
          <w:sz w:val="24"/>
          <w:szCs w:val="24"/>
        </w:rPr>
        <w:t>SIA “</w:t>
      </w:r>
      <w:proofErr w:type="spellStart"/>
      <w:r w:rsidR="004C578A">
        <w:rPr>
          <w:rFonts w:ascii="Times New Roman" w:hAnsi="Times New Roman"/>
          <w:b/>
          <w:sz w:val="24"/>
          <w:szCs w:val="24"/>
        </w:rPr>
        <w:t>GenMedica</w:t>
      </w:r>
      <w:proofErr w:type="spellEnd"/>
      <w:r w:rsidR="004C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578A">
        <w:rPr>
          <w:rFonts w:ascii="Times New Roman" w:hAnsi="Times New Roman"/>
          <w:b/>
          <w:sz w:val="24"/>
          <w:szCs w:val="24"/>
        </w:rPr>
        <w:t>Baltic</w:t>
      </w:r>
      <w:proofErr w:type="spellEnd"/>
      <w:r w:rsidR="004C578A" w:rsidRPr="00BF1362">
        <w:rPr>
          <w:rFonts w:ascii="Times New Roman" w:hAnsi="Times New Roman"/>
          <w:b/>
          <w:sz w:val="24"/>
          <w:szCs w:val="24"/>
        </w:rPr>
        <w:t xml:space="preserve">”, reģ. Nr. </w:t>
      </w:r>
      <w:r w:rsidR="004C578A">
        <w:rPr>
          <w:rFonts w:ascii="Times New Roman" w:hAnsi="Times New Roman"/>
          <w:b/>
          <w:sz w:val="24"/>
          <w:szCs w:val="24"/>
        </w:rPr>
        <w:t>40103747792, Miera iela 43-3, Rīga, LV-1001 ar piedāvāto kopējo līgumcenu EUR 29 739.61 bez PVN</w:t>
      </w:r>
      <w:r w:rsidRPr="006F015D">
        <w:rPr>
          <w:rFonts w:ascii="Times New Roman" w:hAnsi="Times New Roman"/>
          <w:bCs/>
          <w:sz w:val="24"/>
          <w:szCs w:val="24"/>
        </w:rPr>
        <w:t>, slē</w:t>
      </w:r>
      <w:r w:rsidR="00022BFD">
        <w:rPr>
          <w:rFonts w:ascii="Times New Roman" w:hAnsi="Times New Roman"/>
          <w:bCs/>
          <w:sz w:val="24"/>
          <w:szCs w:val="24"/>
        </w:rPr>
        <w:t>g</w:t>
      </w:r>
      <w:r w:rsidRPr="006F015D">
        <w:rPr>
          <w:rFonts w:ascii="Times New Roman" w:hAnsi="Times New Roman"/>
          <w:bCs/>
          <w:sz w:val="24"/>
          <w:szCs w:val="24"/>
        </w:rPr>
        <w:t xml:space="preserve">t </w:t>
      </w:r>
      <w:r w:rsidR="004C578A">
        <w:rPr>
          <w:rFonts w:ascii="Times New Roman" w:hAnsi="Times New Roman"/>
          <w:bCs/>
          <w:sz w:val="24"/>
          <w:szCs w:val="24"/>
        </w:rPr>
        <w:t>līgumu</w:t>
      </w:r>
      <w:r w:rsidRPr="006F015D">
        <w:rPr>
          <w:rFonts w:ascii="Times New Roman" w:hAnsi="Times New Roman"/>
          <w:bCs/>
          <w:sz w:val="24"/>
          <w:szCs w:val="24"/>
        </w:rPr>
        <w:t>, ņemot vērā nolikuma nosacījumus un sarunu procedūrā panākto vienošanos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51B5" w:rsidRPr="00A125B8" w:rsidRDefault="00921DCE" w:rsidP="00E17B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25B8">
        <w:rPr>
          <w:rFonts w:ascii="Times New Roman" w:hAnsi="Times New Roman"/>
          <w:sz w:val="24"/>
          <w:szCs w:val="24"/>
        </w:rPr>
        <w:t>Lēmumu var pārsūdzēt viena mēneša laikā no tā spēkā stāšanās dienas Administratīvajā rajona tiesā Administratīvā procesa likumā noteiktajā kārtībā. Lēmuma pārsūdzēšana neaptur tā darbību.</w:t>
      </w:r>
    </w:p>
    <w:p w:rsidR="00921DCE" w:rsidRPr="00A125B8" w:rsidRDefault="00921DCE" w:rsidP="009E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4F9" w:rsidRDefault="007224F9" w:rsidP="009E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DCE" w:rsidRPr="00084FA8" w:rsidRDefault="00921DCE" w:rsidP="009E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3057"/>
        <w:gridCol w:w="412"/>
        <w:gridCol w:w="2230"/>
      </w:tblGrid>
      <w:tr w:rsidR="009E51B5" w:rsidRPr="003207A9" w:rsidTr="00F258A9">
        <w:trPr>
          <w:trHeight w:val="303"/>
        </w:trPr>
        <w:tc>
          <w:tcPr>
            <w:tcW w:w="4030" w:type="dxa"/>
          </w:tcPr>
          <w:p w:rsidR="009E51B5" w:rsidRPr="003207A9" w:rsidRDefault="009E51B5" w:rsidP="007D6A31">
            <w:pPr>
              <w:rPr>
                <w:rFonts w:ascii="Times New Roman" w:hAnsi="Times New Roman"/>
                <w:sz w:val="24"/>
                <w:szCs w:val="24"/>
              </w:rPr>
            </w:pPr>
            <w:r w:rsidRPr="003207A9">
              <w:rPr>
                <w:rFonts w:ascii="Times New Roman" w:hAnsi="Times New Roman"/>
                <w:sz w:val="24"/>
                <w:szCs w:val="24"/>
              </w:rPr>
              <w:t>Iepirkuma komisijas priekšsēdētāja</w:t>
            </w:r>
            <w:r w:rsidR="00616E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69" w:type="dxa"/>
            <w:gridSpan w:val="2"/>
          </w:tcPr>
          <w:p w:rsidR="009E51B5" w:rsidRPr="00A560DB" w:rsidRDefault="00F258A9" w:rsidP="00BE79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/personas paraksts/</w:t>
            </w:r>
          </w:p>
        </w:tc>
        <w:tc>
          <w:tcPr>
            <w:tcW w:w="2230" w:type="dxa"/>
          </w:tcPr>
          <w:p w:rsidR="009E51B5" w:rsidRPr="003207A9" w:rsidRDefault="005B7F61" w:rsidP="003923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L.Tauriņa-Lasmane</w:t>
            </w:r>
          </w:p>
        </w:tc>
      </w:tr>
      <w:tr w:rsidR="009E51B5" w:rsidRPr="003207A9" w:rsidTr="00F258A9">
        <w:trPr>
          <w:trHeight w:hRule="exact" w:val="841"/>
        </w:trPr>
        <w:tc>
          <w:tcPr>
            <w:tcW w:w="4030" w:type="dxa"/>
          </w:tcPr>
          <w:p w:rsidR="009E51B5" w:rsidRDefault="009E51B5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4F9" w:rsidRDefault="007224F9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4F9" w:rsidRPr="003207A9" w:rsidRDefault="007224F9" w:rsidP="007D6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locekļi:</w:t>
            </w:r>
          </w:p>
        </w:tc>
        <w:tc>
          <w:tcPr>
            <w:tcW w:w="3469" w:type="dxa"/>
            <w:gridSpan w:val="2"/>
          </w:tcPr>
          <w:p w:rsidR="00616EC7" w:rsidRDefault="00616EC7" w:rsidP="006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A9" w:rsidRDefault="00F258A9" w:rsidP="006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A9" w:rsidRDefault="00F258A9" w:rsidP="00616E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/personas paraksts/</w:t>
            </w:r>
          </w:p>
          <w:p w:rsidR="00F258A9" w:rsidRDefault="00F258A9" w:rsidP="00616E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616E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616E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Pr="00616EC7" w:rsidRDefault="00F258A9" w:rsidP="006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16EC7" w:rsidRDefault="00616EC7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24F9" w:rsidRDefault="007224F9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6EC7" w:rsidRDefault="007224F9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A.Gulbe</w:t>
            </w:r>
          </w:p>
          <w:p w:rsidR="00616EC7" w:rsidRDefault="00616EC7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6EC7" w:rsidRPr="003207A9" w:rsidRDefault="00616EC7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B5" w:rsidRPr="003207A9" w:rsidTr="00F258A9">
        <w:trPr>
          <w:trHeight w:val="3051"/>
        </w:trPr>
        <w:tc>
          <w:tcPr>
            <w:tcW w:w="4030" w:type="dxa"/>
          </w:tcPr>
          <w:p w:rsidR="009E51B5" w:rsidRDefault="009E51B5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0C6E7B" w:rsidP="007D6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Eksperts:</w:t>
            </w:r>
          </w:p>
          <w:p w:rsidR="003F061C" w:rsidRDefault="003F061C" w:rsidP="007D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1C" w:rsidRDefault="003F061C" w:rsidP="00956C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8A9" w:rsidRDefault="00F258A9" w:rsidP="00956C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8A9" w:rsidRPr="003207A9" w:rsidRDefault="00F258A9" w:rsidP="00956CD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7" w:type="dxa"/>
          </w:tcPr>
          <w:p w:rsidR="000C6E7B" w:rsidRDefault="000C6E7B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/personas paraksts/</w:t>
            </w: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/personas paraksts/</w:t>
            </w: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8A9" w:rsidRPr="00A560DB" w:rsidRDefault="00F258A9" w:rsidP="003F06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/personas paraksts/</w:t>
            </w:r>
          </w:p>
        </w:tc>
        <w:tc>
          <w:tcPr>
            <w:tcW w:w="2642" w:type="dxa"/>
            <w:gridSpan w:val="2"/>
          </w:tcPr>
          <w:p w:rsidR="007224F9" w:rsidRDefault="007224F9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24F9" w:rsidRDefault="007224F9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59FB" w:rsidRDefault="008E38FF" w:rsidP="008B5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A.Priednieks</w:t>
            </w:r>
          </w:p>
          <w:p w:rsidR="008B59FB" w:rsidRDefault="008B59FB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59FB" w:rsidRDefault="008B59FB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51B5" w:rsidRDefault="00615F62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I.Ribikauska</w:t>
            </w:r>
          </w:p>
          <w:p w:rsidR="000C6E7B" w:rsidRDefault="000C6E7B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6E7B" w:rsidRDefault="000C6E7B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6E7B" w:rsidRDefault="008E38FF" w:rsidP="007D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M.Pilmane</w:t>
            </w:r>
          </w:p>
          <w:p w:rsidR="006F015D" w:rsidRPr="003207A9" w:rsidRDefault="006F015D" w:rsidP="00F25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8A9" w:rsidRDefault="00F258A9" w:rsidP="00667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8A9" w:rsidRDefault="00F258A9" w:rsidP="00F258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NORAKSTS PAREIZS</w:t>
      </w:r>
    </w:p>
    <w:p w:rsidR="00F258A9" w:rsidRDefault="00F258A9" w:rsidP="00F2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komisijas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L.Tauriņa-Lasmane</w:t>
      </w:r>
    </w:p>
    <w:p w:rsidR="00F258A9" w:rsidRPr="003207A9" w:rsidRDefault="00F258A9" w:rsidP="00F2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Rīgā, </w:t>
      </w:r>
      <w:proofErr w:type="gramStart"/>
      <w:r>
        <w:rPr>
          <w:rFonts w:ascii="Times New Roman" w:hAnsi="Times New Roman"/>
          <w:sz w:val="24"/>
          <w:szCs w:val="24"/>
        </w:rPr>
        <w:t>2018.gada</w:t>
      </w:r>
      <w:proofErr w:type="gramEnd"/>
      <w:r>
        <w:rPr>
          <w:rFonts w:ascii="Times New Roman" w:hAnsi="Times New Roman"/>
          <w:sz w:val="24"/>
          <w:szCs w:val="24"/>
        </w:rPr>
        <w:t xml:space="preserve"> 11.oktobrī</w:t>
      </w:r>
    </w:p>
    <w:sectPr w:rsidR="00F258A9" w:rsidRPr="003207A9" w:rsidSect="003D7F13">
      <w:footerReference w:type="default" r:id="rId8"/>
      <w:headerReference w:type="first" r:id="rId9"/>
      <w:pgSz w:w="11906" w:h="16838"/>
      <w:pgMar w:top="85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7E" w:rsidRDefault="00F26C7E" w:rsidP="00C511DE">
      <w:pPr>
        <w:spacing w:after="0" w:line="240" w:lineRule="auto"/>
      </w:pPr>
      <w:r>
        <w:separator/>
      </w:r>
    </w:p>
  </w:endnote>
  <w:endnote w:type="continuationSeparator" w:id="0">
    <w:p w:rsidR="00F26C7E" w:rsidRDefault="00F26C7E" w:rsidP="00C5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062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96F" w:rsidRDefault="00EB1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7E" w:rsidRDefault="00F26C7E" w:rsidP="00C511DE">
      <w:pPr>
        <w:spacing w:after="0" w:line="240" w:lineRule="auto"/>
      </w:pPr>
      <w:r>
        <w:separator/>
      </w:r>
    </w:p>
  </w:footnote>
  <w:footnote w:type="continuationSeparator" w:id="0">
    <w:p w:rsidR="00F26C7E" w:rsidRDefault="00F26C7E" w:rsidP="00C5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E6" w:rsidRPr="00F258A9" w:rsidRDefault="00F258A9" w:rsidP="00F258A9">
    <w:pPr>
      <w:pStyle w:val="Header"/>
      <w:jc w:val="right"/>
      <w:rPr>
        <w:rFonts w:ascii="Times New Roman" w:hAnsi="Times New Roman"/>
        <w:sz w:val="24"/>
        <w:szCs w:val="24"/>
      </w:rPr>
    </w:pPr>
    <w:r w:rsidRPr="00F258A9">
      <w:rPr>
        <w:rFonts w:ascii="Times New Roman" w:hAnsi="Times New Roman"/>
        <w:sz w:val="24"/>
        <w:szCs w:val="24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313"/>
    <w:multiLevelType w:val="hybridMultilevel"/>
    <w:tmpl w:val="30327D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71AFC"/>
    <w:multiLevelType w:val="hybridMultilevel"/>
    <w:tmpl w:val="BFC8FE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E7B73"/>
    <w:multiLevelType w:val="multilevel"/>
    <w:tmpl w:val="7E8AF4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6E3549"/>
    <w:multiLevelType w:val="hybridMultilevel"/>
    <w:tmpl w:val="477E202E"/>
    <w:lvl w:ilvl="0" w:tplc="BD109610">
      <w:start w:val="1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4708"/>
    <w:multiLevelType w:val="hybridMultilevel"/>
    <w:tmpl w:val="A00695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F81"/>
    <w:multiLevelType w:val="hybridMultilevel"/>
    <w:tmpl w:val="5502B2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3938"/>
    <w:multiLevelType w:val="hybridMultilevel"/>
    <w:tmpl w:val="420C4C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4E7B"/>
    <w:multiLevelType w:val="hybridMultilevel"/>
    <w:tmpl w:val="C4E66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7E56"/>
    <w:multiLevelType w:val="multilevel"/>
    <w:tmpl w:val="DE40D6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67200C"/>
    <w:multiLevelType w:val="multilevel"/>
    <w:tmpl w:val="548A85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5B70D42"/>
    <w:multiLevelType w:val="hybridMultilevel"/>
    <w:tmpl w:val="9CB2DF5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E782D"/>
    <w:multiLevelType w:val="hybridMultilevel"/>
    <w:tmpl w:val="B5AE7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1296"/>
    <w:multiLevelType w:val="multilevel"/>
    <w:tmpl w:val="8DE06F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7B2E69CB"/>
    <w:multiLevelType w:val="hybridMultilevel"/>
    <w:tmpl w:val="99640B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DE"/>
    <w:rsid w:val="0000004A"/>
    <w:rsid w:val="00007463"/>
    <w:rsid w:val="00010CFB"/>
    <w:rsid w:val="00010D81"/>
    <w:rsid w:val="00011EF1"/>
    <w:rsid w:val="0001429D"/>
    <w:rsid w:val="00016F81"/>
    <w:rsid w:val="00022BFD"/>
    <w:rsid w:val="0003188A"/>
    <w:rsid w:val="00035911"/>
    <w:rsid w:val="000406D1"/>
    <w:rsid w:val="00045D0E"/>
    <w:rsid w:val="00053512"/>
    <w:rsid w:val="00053645"/>
    <w:rsid w:val="00060D1D"/>
    <w:rsid w:val="0006651C"/>
    <w:rsid w:val="0006653B"/>
    <w:rsid w:val="00075C47"/>
    <w:rsid w:val="00084FA8"/>
    <w:rsid w:val="00091F7C"/>
    <w:rsid w:val="00092B44"/>
    <w:rsid w:val="00093F1D"/>
    <w:rsid w:val="0009555D"/>
    <w:rsid w:val="000961A4"/>
    <w:rsid w:val="000A0912"/>
    <w:rsid w:val="000B0247"/>
    <w:rsid w:val="000B10C0"/>
    <w:rsid w:val="000B608C"/>
    <w:rsid w:val="000B6106"/>
    <w:rsid w:val="000B6E6E"/>
    <w:rsid w:val="000C663E"/>
    <w:rsid w:val="000C6E7B"/>
    <w:rsid w:val="000D02BB"/>
    <w:rsid w:val="000D3ADA"/>
    <w:rsid w:val="000D49AD"/>
    <w:rsid w:val="000E715A"/>
    <w:rsid w:val="000F0981"/>
    <w:rsid w:val="000F4ED0"/>
    <w:rsid w:val="000F51C8"/>
    <w:rsid w:val="001009C9"/>
    <w:rsid w:val="00102029"/>
    <w:rsid w:val="00103FA9"/>
    <w:rsid w:val="00107FDD"/>
    <w:rsid w:val="001133F4"/>
    <w:rsid w:val="00127254"/>
    <w:rsid w:val="00134285"/>
    <w:rsid w:val="00141BB5"/>
    <w:rsid w:val="00142584"/>
    <w:rsid w:val="00145EE2"/>
    <w:rsid w:val="00154534"/>
    <w:rsid w:val="0015768D"/>
    <w:rsid w:val="001613C4"/>
    <w:rsid w:val="001723C3"/>
    <w:rsid w:val="00177409"/>
    <w:rsid w:val="00177AD5"/>
    <w:rsid w:val="0018683C"/>
    <w:rsid w:val="001A2CFC"/>
    <w:rsid w:val="001B54BA"/>
    <w:rsid w:val="001B6FF4"/>
    <w:rsid w:val="001C7E88"/>
    <w:rsid w:val="001D586B"/>
    <w:rsid w:val="001F1FBD"/>
    <w:rsid w:val="001F3C5F"/>
    <w:rsid w:val="002003B8"/>
    <w:rsid w:val="00211D1A"/>
    <w:rsid w:val="00214CF0"/>
    <w:rsid w:val="00226D8D"/>
    <w:rsid w:val="00231344"/>
    <w:rsid w:val="00241B66"/>
    <w:rsid w:val="00244DD4"/>
    <w:rsid w:val="00245EEB"/>
    <w:rsid w:val="0025497A"/>
    <w:rsid w:val="00256D7A"/>
    <w:rsid w:val="00267E61"/>
    <w:rsid w:val="0027520C"/>
    <w:rsid w:val="00276758"/>
    <w:rsid w:val="0028379C"/>
    <w:rsid w:val="00287BA7"/>
    <w:rsid w:val="002910FB"/>
    <w:rsid w:val="00296401"/>
    <w:rsid w:val="002A0800"/>
    <w:rsid w:val="002A215B"/>
    <w:rsid w:val="002A404E"/>
    <w:rsid w:val="002A7E3C"/>
    <w:rsid w:val="002B36AC"/>
    <w:rsid w:val="002B40E8"/>
    <w:rsid w:val="002C1E72"/>
    <w:rsid w:val="002C5C2B"/>
    <w:rsid w:val="002C798A"/>
    <w:rsid w:val="002E3934"/>
    <w:rsid w:val="002F18A3"/>
    <w:rsid w:val="002F5EB6"/>
    <w:rsid w:val="00304D8A"/>
    <w:rsid w:val="003113A2"/>
    <w:rsid w:val="00312DB9"/>
    <w:rsid w:val="00317F76"/>
    <w:rsid w:val="003207A9"/>
    <w:rsid w:val="00335410"/>
    <w:rsid w:val="00344A0E"/>
    <w:rsid w:val="0035293E"/>
    <w:rsid w:val="00364F2E"/>
    <w:rsid w:val="00375C5C"/>
    <w:rsid w:val="00381C14"/>
    <w:rsid w:val="00392388"/>
    <w:rsid w:val="00397429"/>
    <w:rsid w:val="0039791E"/>
    <w:rsid w:val="003A0955"/>
    <w:rsid w:val="003A4023"/>
    <w:rsid w:val="003C5349"/>
    <w:rsid w:val="003D46A8"/>
    <w:rsid w:val="003D7F13"/>
    <w:rsid w:val="003F061C"/>
    <w:rsid w:val="003F37DF"/>
    <w:rsid w:val="003F6841"/>
    <w:rsid w:val="003F7B66"/>
    <w:rsid w:val="0040243C"/>
    <w:rsid w:val="00434BDD"/>
    <w:rsid w:val="004369A8"/>
    <w:rsid w:val="00454686"/>
    <w:rsid w:val="00476358"/>
    <w:rsid w:val="00476DA2"/>
    <w:rsid w:val="0048429E"/>
    <w:rsid w:val="0048474C"/>
    <w:rsid w:val="004937B9"/>
    <w:rsid w:val="004A7DBE"/>
    <w:rsid w:val="004C578A"/>
    <w:rsid w:val="004C7B6E"/>
    <w:rsid w:val="004D150F"/>
    <w:rsid w:val="004E17D0"/>
    <w:rsid w:val="004E33D5"/>
    <w:rsid w:val="004E7D51"/>
    <w:rsid w:val="004F7A4B"/>
    <w:rsid w:val="00521CAF"/>
    <w:rsid w:val="005311D1"/>
    <w:rsid w:val="0053522A"/>
    <w:rsid w:val="00542559"/>
    <w:rsid w:val="0054665F"/>
    <w:rsid w:val="005520F9"/>
    <w:rsid w:val="00560DFC"/>
    <w:rsid w:val="00562E9A"/>
    <w:rsid w:val="00582486"/>
    <w:rsid w:val="005A0D0D"/>
    <w:rsid w:val="005A55D7"/>
    <w:rsid w:val="005A66C1"/>
    <w:rsid w:val="005A76BB"/>
    <w:rsid w:val="005B7F61"/>
    <w:rsid w:val="005C4039"/>
    <w:rsid w:val="005D5446"/>
    <w:rsid w:val="00601D52"/>
    <w:rsid w:val="00611592"/>
    <w:rsid w:val="0061452E"/>
    <w:rsid w:val="00614D39"/>
    <w:rsid w:val="00615F62"/>
    <w:rsid w:val="00616EC7"/>
    <w:rsid w:val="00617F4F"/>
    <w:rsid w:val="00631243"/>
    <w:rsid w:val="0064426D"/>
    <w:rsid w:val="006461D5"/>
    <w:rsid w:val="0065564E"/>
    <w:rsid w:val="00656B72"/>
    <w:rsid w:val="00662B26"/>
    <w:rsid w:val="00662CF1"/>
    <w:rsid w:val="00663F83"/>
    <w:rsid w:val="00667A7C"/>
    <w:rsid w:val="006812EF"/>
    <w:rsid w:val="00682085"/>
    <w:rsid w:val="0068365D"/>
    <w:rsid w:val="00685559"/>
    <w:rsid w:val="006A3BBB"/>
    <w:rsid w:val="006A524C"/>
    <w:rsid w:val="006A66BA"/>
    <w:rsid w:val="006B1C94"/>
    <w:rsid w:val="006C1BDD"/>
    <w:rsid w:val="006C52BB"/>
    <w:rsid w:val="006C6854"/>
    <w:rsid w:val="006C7D87"/>
    <w:rsid w:val="006D654A"/>
    <w:rsid w:val="006E1176"/>
    <w:rsid w:val="006E1392"/>
    <w:rsid w:val="006E18D4"/>
    <w:rsid w:val="006E201F"/>
    <w:rsid w:val="006F015D"/>
    <w:rsid w:val="006F034F"/>
    <w:rsid w:val="006F58DB"/>
    <w:rsid w:val="007071F4"/>
    <w:rsid w:val="0071481F"/>
    <w:rsid w:val="007224F9"/>
    <w:rsid w:val="00727AE1"/>
    <w:rsid w:val="007354BD"/>
    <w:rsid w:val="00736D65"/>
    <w:rsid w:val="00742B92"/>
    <w:rsid w:val="00756DB2"/>
    <w:rsid w:val="007662CF"/>
    <w:rsid w:val="0079208B"/>
    <w:rsid w:val="007946DB"/>
    <w:rsid w:val="007A0AFC"/>
    <w:rsid w:val="007A331A"/>
    <w:rsid w:val="007A37B3"/>
    <w:rsid w:val="007B7B5F"/>
    <w:rsid w:val="007C0129"/>
    <w:rsid w:val="007C408D"/>
    <w:rsid w:val="007C5139"/>
    <w:rsid w:val="007C6B89"/>
    <w:rsid w:val="007D1879"/>
    <w:rsid w:val="007D202E"/>
    <w:rsid w:val="007E02F4"/>
    <w:rsid w:val="007F0380"/>
    <w:rsid w:val="007F5AF5"/>
    <w:rsid w:val="00811E68"/>
    <w:rsid w:val="008155E8"/>
    <w:rsid w:val="00824074"/>
    <w:rsid w:val="0083581D"/>
    <w:rsid w:val="00852033"/>
    <w:rsid w:val="00862024"/>
    <w:rsid w:val="008657DC"/>
    <w:rsid w:val="00871987"/>
    <w:rsid w:val="00873668"/>
    <w:rsid w:val="00874598"/>
    <w:rsid w:val="00894654"/>
    <w:rsid w:val="00897395"/>
    <w:rsid w:val="008A0138"/>
    <w:rsid w:val="008A4D63"/>
    <w:rsid w:val="008B59FB"/>
    <w:rsid w:val="008D05D8"/>
    <w:rsid w:val="008E1C3B"/>
    <w:rsid w:val="008E38FF"/>
    <w:rsid w:val="00902179"/>
    <w:rsid w:val="00907A40"/>
    <w:rsid w:val="0091359C"/>
    <w:rsid w:val="00921DCE"/>
    <w:rsid w:val="00922CD2"/>
    <w:rsid w:val="009230B4"/>
    <w:rsid w:val="00924A99"/>
    <w:rsid w:val="00946CFD"/>
    <w:rsid w:val="00956CD5"/>
    <w:rsid w:val="00987BDC"/>
    <w:rsid w:val="009B45C9"/>
    <w:rsid w:val="009B4681"/>
    <w:rsid w:val="009C30E7"/>
    <w:rsid w:val="009C63FF"/>
    <w:rsid w:val="009C7F00"/>
    <w:rsid w:val="009D1B1E"/>
    <w:rsid w:val="009D3234"/>
    <w:rsid w:val="009E51B5"/>
    <w:rsid w:val="009F163F"/>
    <w:rsid w:val="009F6827"/>
    <w:rsid w:val="00A03CDD"/>
    <w:rsid w:val="00A125B8"/>
    <w:rsid w:val="00A138AA"/>
    <w:rsid w:val="00A22BE2"/>
    <w:rsid w:val="00A24BE0"/>
    <w:rsid w:val="00A266A8"/>
    <w:rsid w:val="00A26B7D"/>
    <w:rsid w:val="00A27AB1"/>
    <w:rsid w:val="00A373E6"/>
    <w:rsid w:val="00A467CA"/>
    <w:rsid w:val="00A560DB"/>
    <w:rsid w:val="00A606F8"/>
    <w:rsid w:val="00A64C94"/>
    <w:rsid w:val="00A80A74"/>
    <w:rsid w:val="00A93800"/>
    <w:rsid w:val="00AA195B"/>
    <w:rsid w:val="00AA56AF"/>
    <w:rsid w:val="00AA636D"/>
    <w:rsid w:val="00AC737C"/>
    <w:rsid w:val="00AF6152"/>
    <w:rsid w:val="00AF7F01"/>
    <w:rsid w:val="00B26C35"/>
    <w:rsid w:val="00B311D8"/>
    <w:rsid w:val="00B42FED"/>
    <w:rsid w:val="00B545CE"/>
    <w:rsid w:val="00B65A91"/>
    <w:rsid w:val="00B73288"/>
    <w:rsid w:val="00B73646"/>
    <w:rsid w:val="00BA1EFC"/>
    <w:rsid w:val="00BA2400"/>
    <w:rsid w:val="00BB243B"/>
    <w:rsid w:val="00BB3265"/>
    <w:rsid w:val="00BB4714"/>
    <w:rsid w:val="00BB68C6"/>
    <w:rsid w:val="00BD722C"/>
    <w:rsid w:val="00BE2C5A"/>
    <w:rsid w:val="00BE40B5"/>
    <w:rsid w:val="00BE4C51"/>
    <w:rsid w:val="00BE7906"/>
    <w:rsid w:val="00BF0A91"/>
    <w:rsid w:val="00BF4E2F"/>
    <w:rsid w:val="00BF67BC"/>
    <w:rsid w:val="00BF6813"/>
    <w:rsid w:val="00BF6C5D"/>
    <w:rsid w:val="00C25DD2"/>
    <w:rsid w:val="00C318E7"/>
    <w:rsid w:val="00C352BF"/>
    <w:rsid w:val="00C36739"/>
    <w:rsid w:val="00C511DE"/>
    <w:rsid w:val="00C55038"/>
    <w:rsid w:val="00C5792A"/>
    <w:rsid w:val="00C60F8C"/>
    <w:rsid w:val="00C755E4"/>
    <w:rsid w:val="00C75878"/>
    <w:rsid w:val="00C75B3D"/>
    <w:rsid w:val="00C75CE2"/>
    <w:rsid w:val="00C86F25"/>
    <w:rsid w:val="00C93B26"/>
    <w:rsid w:val="00CA50B9"/>
    <w:rsid w:val="00CB0BDF"/>
    <w:rsid w:val="00CB43DF"/>
    <w:rsid w:val="00CC1F4B"/>
    <w:rsid w:val="00CD629A"/>
    <w:rsid w:val="00CD77C7"/>
    <w:rsid w:val="00CE20D0"/>
    <w:rsid w:val="00CF4E3C"/>
    <w:rsid w:val="00CF64E7"/>
    <w:rsid w:val="00D14437"/>
    <w:rsid w:val="00D1487F"/>
    <w:rsid w:val="00D1641B"/>
    <w:rsid w:val="00D23AC5"/>
    <w:rsid w:val="00D264A3"/>
    <w:rsid w:val="00D31DB6"/>
    <w:rsid w:val="00D349DF"/>
    <w:rsid w:val="00D429C8"/>
    <w:rsid w:val="00D50607"/>
    <w:rsid w:val="00D57E46"/>
    <w:rsid w:val="00D65A79"/>
    <w:rsid w:val="00D733AC"/>
    <w:rsid w:val="00D810AF"/>
    <w:rsid w:val="00D812CC"/>
    <w:rsid w:val="00DA0A62"/>
    <w:rsid w:val="00DA4325"/>
    <w:rsid w:val="00DB30D3"/>
    <w:rsid w:val="00DD3DB5"/>
    <w:rsid w:val="00DD668B"/>
    <w:rsid w:val="00DE0FB1"/>
    <w:rsid w:val="00DE4698"/>
    <w:rsid w:val="00DF76DF"/>
    <w:rsid w:val="00E059D5"/>
    <w:rsid w:val="00E1502F"/>
    <w:rsid w:val="00E17BE6"/>
    <w:rsid w:val="00E2252F"/>
    <w:rsid w:val="00E23B1E"/>
    <w:rsid w:val="00E24331"/>
    <w:rsid w:val="00E24FEC"/>
    <w:rsid w:val="00E36097"/>
    <w:rsid w:val="00E4400C"/>
    <w:rsid w:val="00E447DF"/>
    <w:rsid w:val="00E579A9"/>
    <w:rsid w:val="00E6127A"/>
    <w:rsid w:val="00E73AE4"/>
    <w:rsid w:val="00E81DD5"/>
    <w:rsid w:val="00E820E4"/>
    <w:rsid w:val="00EA463E"/>
    <w:rsid w:val="00EA51E6"/>
    <w:rsid w:val="00EB14EA"/>
    <w:rsid w:val="00EB196F"/>
    <w:rsid w:val="00EB41C8"/>
    <w:rsid w:val="00ED0A07"/>
    <w:rsid w:val="00EE2864"/>
    <w:rsid w:val="00EE62FD"/>
    <w:rsid w:val="00EF1167"/>
    <w:rsid w:val="00EF7440"/>
    <w:rsid w:val="00F11C97"/>
    <w:rsid w:val="00F125A7"/>
    <w:rsid w:val="00F13DE9"/>
    <w:rsid w:val="00F16173"/>
    <w:rsid w:val="00F258A9"/>
    <w:rsid w:val="00F26C7E"/>
    <w:rsid w:val="00F27833"/>
    <w:rsid w:val="00F3700F"/>
    <w:rsid w:val="00F51815"/>
    <w:rsid w:val="00F51FF1"/>
    <w:rsid w:val="00F71F34"/>
    <w:rsid w:val="00F721BE"/>
    <w:rsid w:val="00F81028"/>
    <w:rsid w:val="00F95ECA"/>
    <w:rsid w:val="00FA25A6"/>
    <w:rsid w:val="00FA6AEB"/>
    <w:rsid w:val="00FB3FE0"/>
    <w:rsid w:val="00FC1EA2"/>
    <w:rsid w:val="00FC5EB2"/>
    <w:rsid w:val="00FD416A"/>
    <w:rsid w:val="00FE20F0"/>
    <w:rsid w:val="00FF27DF"/>
    <w:rsid w:val="00FF311B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BF8B"/>
  <w15:docId w15:val="{24C8E29F-1E38-4863-8753-3075B97D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D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C511D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511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511D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11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ntStyle90">
    <w:name w:val="Font Style90"/>
    <w:uiPriority w:val="99"/>
    <w:rsid w:val="00C511DE"/>
    <w:rPr>
      <w:rFonts w:ascii="Times New Roman" w:hAnsi="Times New Roman" w:cs="Times New Roman" w:hint="default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5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51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11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D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2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BA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7D18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187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D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879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2B40E8"/>
  </w:style>
  <w:style w:type="paragraph" w:styleId="NormalWeb">
    <w:name w:val="Normal (Web)"/>
    <w:basedOn w:val="Normal"/>
    <w:rsid w:val="002B40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Fields2">
    <w:name w:val="Fields2"/>
    <w:basedOn w:val="DefaultParagraphFont"/>
    <w:uiPriority w:val="1"/>
    <w:rsid w:val="002B40E8"/>
    <w:rPr>
      <w:rFonts w:ascii="Times New Roman" w:hAnsi="Times New Roman" w:cs="Times New Roman" w:hint="default"/>
      <w:b/>
      <w:bCs w:val="0"/>
      <w:sz w:val="20"/>
    </w:rPr>
  </w:style>
  <w:style w:type="character" w:styleId="LineNumber">
    <w:name w:val="line number"/>
    <w:basedOn w:val="DefaultParagraphFont"/>
    <w:rsid w:val="002B40E8"/>
  </w:style>
  <w:style w:type="table" w:customStyle="1" w:styleId="TableGrid1">
    <w:name w:val="Table Grid1"/>
    <w:basedOn w:val="TableNormal"/>
    <w:next w:val="TableGrid"/>
    <w:uiPriority w:val="59"/>
    <w:rsid w:val="0003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6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1371-7288-4CF0-9A5E-44D108BE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Jurkovska</dc:creator>
  <cp:lastModifiedBy>Inese Ribikauska</cp:lastModifiedBy>
  <cp:revision>6</cp:revision>
  <cp:lastPrinted>2018-10-11T11:06:00Z</cp:lastPrinted>
  <dcterms:created xsi:type="dcterms:W3CDTF">2018-10-11T11:10:00Z</dcterms:created>
  <dcterms:modified xsi:type="dcterms:W3CDTF">2018-10-11T12:17:00Z</dcterms:modified>
</cp:coreProperties>
</file>