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0C446" w14:textId="77777777" w:rsidR="00B21885" w:rsidRDefault="00B21885" w:rsidP="004A7C07">
      <w:pPr>
        <w:rPr>
          <w:rFonts w:ascii="Calibri" w:hAnsi="Calibri" w:cs="Calibri"/>
          <w:lang w:val="en-GB"/>
        </w:rPr>
      </w:pPr>
    </w:p>
    <w:p w14:paraId="047345EA" w14:textId="26FE8A6A" w:rsidR="004A7C07" w:rsidRPr="002E0D3F" w:rsidRDefault="004A7C07" w:rsidP="004A7C07">
      <w:pPr>
        <w:rPr>
          <w:rFonts w:ascii="Times New Roman" w:hAnsi="Times New Roman" w:cs="Times New Roman"/>
          <w:b/>
          <w:bCs/>
          <w:lang w:val="en-US"/>
        </w:rPr>
      </w:pPr>
      <w:r w:rsidRPr="002E0D3F">
        <w:rPr>
          <w:rFonts w:ascii="Times New Roman" w:hAnsi="Times New Roman" w:cs="Times New Roman"/>
          <w:b/>
          <w:bCs/>
          <w:lang w:val="en-US"/>
        </w:rPr>
        <w:t xml:space="preserve">Design and expression of HPV16 oncoproteins E6 and E7 for the dynamic analysis of the levels of specific serum antibodies in women with and without cervical lesions </w:t>
      </w:r>
    </w:p>
    <w:p w14:paraId="047345EB" w14:textId="77777777" w:rsidR="004A7C07" w:rsidRPr="002E0D3F" w:rsidRDefault="004A7C07" w:rsidP="004A7C07">
      <w:pPr>
        <w:rPr>
          <w:rFonts w:ascii="Times New Roman" w:hAnsi="Times New Roman" w:cs="Times New Roman"/>
        </w:rPr>
      </w:pPr>
      <w:r w:rsidRPr="002E0D3F">
        <w:rPr>
          <w:rFonts w:ascii="Times New Roman" w:hAnsi="Times New Roman" w:cs="Times New Roman"/>
        </w:rPr>
        <w:t xml:space="preserve">Sokolovska Liba </w:t>
      </w:r>
      <w:r w:rsidRPr="002E0D3F">
        <w:rPr>
          <w:rFonts w:ascii="Times New Roman" w:hAnsi="Times New Roman" w:cs="Times New Roman"/>
          <w:vertAlign w:val="superscript"/>
        </w:rPr>
        <w:t>1</w:t>
      </w:r>
      <w:r w:rsidRPr="002E0D3F">
        <w:rPr>
          <w:rFonts w:ascii="Times New Roman" w:hAnsi="Times New Roman" w:cs="Times New Roman"/>
        </w:rPr>
        <w:t xml:space="preserve">*,  Spridzane Arta </w:t>
      </w:r>
      <w:r w:rsidRPr="002E0D3F">
        <w:rPr>
          <w:rFonts w:ascii="Times New Roman" w:hAnsi="Times New Roman" w:cs="Times New Roman"/>
          <w:vertAlign w:val="superscript"/>
        </w:rPr>
        <w:t>1, 3</w:t>
      </w:r>
      <w:r w:rsidRPr="002E0D3F">
        <w:rPr>
          <w:rFonts w:ascii="Times New Roman" w:hAnsi="Times New Roman" w:cs="Times New Roman"/>
        </w:rPr>
        <w:t xml:space="preserve">, Uzulina Ilvija </w:t>
      </w:r>
      <w:r w:rsidRPr="002E0D3F">
        <w:rPr>
          <w:rFonts w:ascii="Times New Roman" w:hAnsi="Times New Roman" w:cs="Times New Roman"/>
          <w:vertAlign w:val="superscript"/>
        </w:rPr>
        <w:t>1, 3</w:t>
      </w:r>
      <w:r w:rsidRPr="002E0D3F">
        <w:rPr>
          <w:rFonts w:ascii="Times New Roman" w:hAnsi="Times New Roman" w:cs="Times New Roman"/>
        </w:rPr>
        <w:t xml:space="preserve">, Valuev-Elliston V, Osite Jana </w:t>
      </w:r>
      <w:r w:rsidRPr="002E0D3F">
        <w:rPr>
          <w:rFonts w:ascii="Times New Roman" w:hAnsi="Times New Roman" w:cs="Times New Roman"/>
          <w:vertAlign w:val="superscript"/>
        </w:rPr>
        <w:t>4</w:t>
      </w:r>
      <w:r w:rsidRPr="002E0D3F">
        <w:rPr>
          <w:rFonts w:ascii="Times New Roman" w:hAnsi="Times New Roman" w:cs="Times New Roman"/>
        </w:rPr>
        <w:t xml:space="preserve">, Orlova Beatrise </w:t>
      </w:r>
      <w:r w:rsidRPr="002E0D3F">
        <w:rPr>
          <w:rFonts w:ascii="Times New Roman" w:hAnsi="Times New Roman" w:cs="Times New Roman"/>
          <w:vertAlign w:val="superscript"/>
        </w:rPr>
        <w:t>4</w:t>
      </w:r>
      <w:r w:rsidRPr="002E0D3F">
        <w:rPr>
          <w:rFonts w:ascii="Times New Roman" w:hAnsi="Times New Roman" w:cs="Times New Roman"/>
        </w:rPr>
        <w:t xml:space="preserve">, Mitildzans Androniks </w:t>
      </w:r>
      <w:r w:rsidRPr="002E0D3F">
        <w:rPr>
          <w:rFonts w:ascii="Times New Roman" w:hAnsi="Times New Roman" w:cs="Times New Roman"/>
          <w:vertAlign w:val="superscript"/>
        </w:rPr>
        <w:t>1, 3</w:t>
      </w:r>
      <w:r w:rsidRPr="002E0D3F">
        <w:rPr>
          <w:rFonts w:ascii="Times New Roman" w:hAnsi="Times New Roman" w:cs="Times New Roman"/>
        </w:rPr>
        <w:t xml:space="preserve">, Isaguliants Maria </w:t>
      </w:r>
      <w:r w:rsidRPr="002E0D3F">
        <w:rPr>
          <w:rFonts w:ascii="Times New Roman" w:hAnsi="Times New Roman" w:cs="Times New Roman"/>
          <w:vertAlign w:val="superscript"/>
        </w:rPr>
        <w:t>1, 5</w:t>
      </w:r>
    </w:p>
    <w:p w14:paraId="047345EC"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 xml:space="preserve">1 Institute of Microbiology and Virology, Riga </w:t>
      </w:r>
      <w:proofErr w:type="spellStart"/>
      <w:r w:rsidRPr="002E0D3F">
        <w:rPr>
          <w:rFonts w:ascii="Times New Roman" w:hAnsi="Times New Roman" w:cs="Times New Roman"/>
          <w:lang w:val="en-US"/>
        </w:rPr>
        <w:t>Stradins</w:t>
      </w:r>
      <w:proofErr w:type="spellEnd"/>
      <w:r w:rsidRPr="002E0D3F">
        <w:rPr>
          <w:rFonts w:ascii="Times New Roman" w:hAnsi="Times New Roman" w:cs="Times New Roman"/>
          <w:lang w:val="en-US"/>
        </w:rPr>
        <w:t xml:space="preserve"> University, Riga, Latvia</w:t>
      </w:r>
    </w:p>
    <w:p w14:paraId="047345ED"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 xml:space="preserve">2 Pathology Institute, </w:t>
      </w:r>
      <w:proofErr w:type="spellStart"/>
      <w:r w:rsidRPr="002E0D3F">
        <w:rPr>
          <w:rFonts w:ascii="Times New Roman" w:hAnsi="Times New Roman" w:cs="Times New Roman"/>
          <w:lang w:val="en-US"/>
        </w:rPr>
        <w:t>Pauls</w:t>
      </w:r>
      <w:proofErr w:type="spellEnd"/>
      <w:r w:rsidRPr="002E0D3F">
        <w:rPr>
          <w:rFonts w:ascii="Times New Roman" w:hAnsi="Times New Roman" w:cs="Times New Roman"/>
          <w:lang w:val="en-US"/>
        </w:rPr>
        <w:t xml:space="preserve"> </w:t>
      </w:r>
      <w:proofErr w:type="spellStart"/>
      <w:r w:rsidRPr="002E0D3F">
        <w:rPr>
          <w:rFonts w:ascii="Times New Roman" w:hAnsi="Times New Roman" w:cs="Times New Roman"/>
          <w:lang w:val="en-US"/>
        </w:rPr>
        <w:t>Stradins</w:t>
      </w:r>
      <w:proofErr w:type="spellEnd"/>
      <w:r w:rsidRPr="002E0D3F">
        <w:rPr>
          <w:rFonts w:ascii="Times New Roman" w:hAnsi="Times New Roman" w:cs="Times New Roman"/>
          <w:lang w:val="en-US"/>
        </w:rPr>
        <w:t xml:space="preserve"> Clinical University Hospital, Riga, Latvia;</w:t>
      </w:r>
    </w:p>
    <w:p w14:paraId="047345EE"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3 Pathology Centre, Riga East Clinical University Hospital, Riga, Latvia;</w:t>
      </w:r>
    </w:p>
    <w:p w14:paraId="047345EF" w14:textId="77777777" w:rsidR="004A7C07" w:rsidRPr="002E0D3F" w:rsidRDefault="004A7C07" w:rsidP="004A7C07">
      <w:pPr>
        <w:rPr>
          <w:rFonts w:ascii="Times New Roman" w:hAnsi="Times New Roman" w:cs="Times New Roman"/>
        </w:rPr>
      </w:pPr>
      <w:r w:rsidRPr="002E0D3F">
        <w:rPr>
          <w:rFonts w:ascii="Times New Roman" w:hAnsi="Times New Roman" w:cs="Times New Roman"/>
        </w:rPr>
        <w:t>4 SIA Centrala Laboratorija, Riga, Latvia;</w:t>
      </w:r>
    </w:p>
    <w:p w14:paraId="047345F0"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 xml:space="preserve">5 Department of Microbiology and Virology, Karolinska </w:t>
      </w:r>
      <w:proofErr w:type="spellStart"/>
      <w:r w:rsidRPr="002E0D3F">
        <w:rPr>
          <w:rFonts w:ascii="Times New Roman" w:hAnsi="Times New Roman" w:cs="Times New Roman"/>
          <w:lang w:val="en-US"/>
        </w:rPr>
        <w:t>Institutet</w:t>
      </w:r>
      <w:proofErr w:type="spellEnd"/>
      <w:r w:rsidRPr="002E0D3F">
        <w:rPr>
          <w:rFonts w:ascii="Times New Roman" w:hAnsi="Times New Roman" w:cs="Times New Roman"/>
          <w:lang w:val="en-US"/>
        </w:rPr>
        <w:t>, Stockholm, Sweden.</w:t>
      </w:r>
    </w:p>
    <w:p w14:paraId="047345F1" w14:textId="77777777" w:rsidR="004A7C07" w:rsidRPr="002E0D3F" w:rsidRDefault="004A7C07" w:rsidP="004A7C07">
      <w:pPr>
        <w:rPr>
          <w:rFonts w:ascii="Times New Roman" w:hAnsi="Times New Roman" w:cs="Times New Roman"/>
          <w:lang w:val="en-US"/>
        </w:rPr>
      </w:pPr>
      <w:r w:rsidRPr="002E0D3F">
        <w:rPr>
          <w:rFonts w:ascii="Times New Roman" w:hAnsi="Times New Roman" w:cs="Times New Roman"/>
          <w:lang w:val="en-US"/>
        </w:rPr>
        <w:t>*Presenting author</w:t>
      </w:r>
    </w:p>
    <w:p w14:paraId="047345F2" w14:textId="77777777" w:rsidR="004A7C07" w:rsidRPr="002E0D3F" w:rsidRDefault="004A7C07" w:rsidP="002E0D3F">
      <w:pPr>
        <w:spacing w:line="240" w:lineRule="auto"/>
        <w:jc w:val="both"/>
        <w:rPr>
          <w:rFonts w:ascii="Times New Roman" w:hAnsi="Times New Roman" w:cs="Times New Roman"/>
          <w:b/>
          <w:bCs/>
          <w:lang w:val="en-US"/>
        </w:rPr>
      </w:pPr>
      <w:r w:rsidRPr="002E0D3F">
        <w:rPr>
          <w:rFonts w:ascii="Times New Roman" w:hAnsi="Times New Roman" w:cs="Times New Roman"/>
          <w:b/>
          <w:bCs/>
          <w:lang w:val="en-US"/>
        </w:rPr>
        <w:t>Background</w:t>
      </w:r>
    </w:p>
    <w:p w14:paraId="047345F3"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The humoral immune response against high risk HPVs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has been suggested as a source of biomarkers for the early detection of cervical dysplasia and cancer. We aimed to characterize the dynamics of antibody response against oncoproteins E6 and E7 of HPV16 in women without and with cervical lesions, to determine its usefulness as early disease biomarker. </w:t>
      </w:r>
    </w:p>
    <w:p w14:paraId="047345F4"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b/>
          <w:bCs/>
          <w:lang w:val="en-US"/>
        </w:rPr>
        <w:t>Materials &amp; Methods</w:t>
      </w:r>
      <w:r w:rsidRPr="002E0D3F">
        <w:rPr>
          <w:rFonts w:ascii="Times New Roman" w:hAnsi="Times New Roman" w:cs="Times New Roman"/>
          <w:lang w:val="en-US"/>
        </w:rPr>
        <w:t xml:space="preserve"> </w:t>
      </w:r>
    </w:p>
    <w:p w14:paraId="047345F5"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 xml:space="preserve">Amino acid sequences of E6 and E7 of HPV16 from Latvian patients were retrieved from GenBank (PQ215484-PQ215514). Consensus amino acid (aa) sequences were built (CLUSTAL MUSCLE algorithm). Expression optimized genes were synthesized and cloned into </w:t>
      </w:r>
      <w:proofErr w:type="spellStart"/>
      <w:r w:rsidRPr="002E0D3F">
        <w:rPr>
          <w:rFonts w:ascii="Times New Roman" w:hAnsi="Times New Roman" w:cs="Times New Roman"/>
          <w:lang w:val="en-US"/>
        </w:rPr>
        <w:t>pET</w:t>
      </w:r>
      <w:proofErr w:type="spellEnd"/>
      <w:r w:rsidRPr="002E0D3F">
        <w:rPr>
          <w:rFonts w:ascii="Times New Roman" w:hAnsi="Times New Roman" w:cs="Times New Roman"/>
          <w:lang w:val="en-US"/>
        </w:rPr>
        <w:t xml:space="preserve">-based vector as fusion with His6-SUMO tag. Proteins were expressed in E coli, purified by Ni-column chromatography, Hus6-SUMO tag was cleaved by SUMO-specific protease Ulp1, Ulp1 was removed by affinity chromatography, and E6 and E7 were dialyzed to remove cleavage products. Women (n=82) aged 42.2±10.1 years, recruited into prospective study (Ethical Committee of Riga </w:t>
      </w:r>
      <w:proofErr w:type="spellStart"/>
      <w:r w:rsidRPr="002E0D3F">
        <w:rPr>
          <w:rFonts w:ascii="Times New Roman" w:hAnsi="Times New Roman" w:cs="Times New Roman"/>
          <w:lang w:val="en-US"/>
        </w:rPr>
        <w:t>Stradins</w:t>
      </w:r>
      <w:proofErr w:type="spellEnd"/>
      <w:r w:rsidRPr="002E0D3F">
        <w:rPr>
          <w:rFonts w:ascii="Times New Roman" w:hAnsi="Times New Roman" w:cs="Times New Roman"/>
          <w:lang w:val="en-US"/>
        </w:rPr>
        <w:t xml:space="preserve"> University (RSU) N2-PĒK-4/415/2022 dated 26/09/ 2022), visited gynecologist during up-to 2 years with </w:t>
      </w:r>
      <w:proofErr w:type="gramStart"/>
      <w:r w:rsidRPr="002E0D3F">
        <w:rPr>
          <w:rFonts w:ascii="Times New Roman" w:hAnsi="Times New Roman" w:cs="Times New Roman"/>
          <w:lang w:val="en-US"/>
        </w:rPr>
        <w:t>3-12 month</w:t>
      </w:r>
      <w:proofErr w:type="gramEnd"/>
      <w:r w:rsidRPr="002E0D3F">
        <w:rPr>
          <w:rFonts w:ascii="Times New Roman" w:hAnsi="Times New Roman" w:cs="Times New Roman"/>
          <w:lang w:val="en-US"/>
        </w:rPr>
        <w:t xml:space="preserve"> intervals. At each, cervical smear was collected, and subjected to liquid cytology and PCR-testing for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DNA (</w:t>
      </w:r>
      <w:proofErr w:type="spellStart"/>
      <w:r w:rsidRPr="002E0D3F">
        <w:rPr>
          <w:rFonts w:ascii="Times New Roman" w:hAnsi="Times New Roman" w:cs="Times New Roman"/>
          <w:lang w:val="en-US"/>
        </w:rPr>
        <w:t>Allplex</w:t>
      </w:r>
      <w:proofErr w:type="spellEnd"/>
      <w:r w:rsidRPr="002E0D3F">
        <w:rPr>
          <w:rFonts w:ascii="Times New Roman" w:hAnsi="Times New Roman" w:cs="Times New Roman"/>
          <w:lang w:val="en-US"/>
        </w:rPr>
        <w:t xml:space="preserve">, </w:t>
      </w:r>
      <w:proofErr w:type="spellStart"/>
      <w:r w:rsidRPr="002E0D3F">
        <w:rPr>
          <w:rFonts w:ascii="Times New Roman" w:hAnsi="Times New Roman" w:cs="Times New Roman"/>
          <w:lang w:val="en-US"/>
        </w:rPr>
        <w:t>Seegene</w:t>
      </w:r>
      <w:proofErr w:type="spellEnd"/>
      <w:r w:rsidRPr="002E0D3F">
        <w:rPr>
          <w:rFonts w:ascii="Times New Roman" w:hAnsi="Times New Roman" w:cs="Times New Roman"/>
          <w:lang w:val="en-US"/>
        </w:rPr>
        <w:t xml:space="preserve">), both at </w:t>
      </w:r>
      <w:proofErr w:type="spellStart"/>
      <w:r w:rsidRPr="002E0D3F">
        <w:rPr>
          <w:rFonts w:ascii="Times New Roman" w:hAnsi="Times New Roman" w:cs="Times New Roman"/>
          <w:lang w:val="en-US"/>
        </w:rPr>
        <w:t>Centrala</w:t>
      </w:r>
      <w:proofErr w:type="spellEnd"/>
      <w:r w:rsidRPr="002E0D3F">
        <w:rPr>
          <w:rFonts w:ascii="Times New Roman" w:hAnsi="Times New Roman" w:cs="Times New Roman"/>
          <w:lang w:val="en-US"/>
        </w:rPr>
        <w:t xml:space="preserve"> </w:t>
      </w:r>
      <w:proofErr w:type="spellStart"/>
      <w:r w:rsidRPr="002E0D3F">
        <w:rPr>
          <w:rFonts w:ascii="Times New Roman" w:hAnsi="Times New Roman" w:cs="Times New Roman"/>
          <w:lang w:val="en-US"/>
        </w:rPr>
        <w:t>Laboratorija</w:t>
      </w:r>
      <w:proofErr w:type="spellEnd"/>
      <w:r w:rsidRPr="002E0D3F">
        <w:rPr>
          <w:rFonts w:ascii="Times New Roman" w:hAnsi="Times New Roman" w:cs="Times New Roman"/>
          <w:lang w:val="en-US"/>
        </w:rPr>
        <w:t xml:space="preserve"> (Riga, Latvia). Sera were collected at study entry and exit, and stored at -20</w:t>
      </w:r>
      <w:r w:rsidRPr="002E0D3F">
        <w:rPr>
          <w:rFonts w:ascii="Times New Roman" w:hAnsi="Times New Roman" w:cs="Times New Roman"/>
          <w:vertAlign w:val="superscript"/>
          <w:lang w:val="en-US"/>
        </w:rPr>
        <w:t>o</w:t>
      </w:r>
      <w:r w:rsidRPr="002E0D3F">
        <w:rPr>
          <w:rFonts w:ascii="Times New Roman" w:hAnsi="Times New Roman" w:cs="Times New Roman"/>
          <w:lang w:val="en-US"/>
        </w:rPr>
        <w:t xml:space="preserve">. Two to three repeated visits were completed by 48 healthy and 38 women with lesions and/or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infection. Study will be completed by 31/01/2025. Sera were subjected to indirect ELISA for anti-E6 and anti-E7 IgG and IgA on 96-ELISA plates (</w:t>
      </w:r>
      <w:proofErr w:type="spellStart"/>
      <w:r w:rsidRPr="002E0D3F">
        <w:rPr>
          <w:rFonts w:ascii="Times New Roman" w:hAnsi="Times New Roman" w:cs="Times New Roman"/>
          <w:lang w:val="en-US"/>
        </w:rPr>
        <w:t>Maxisorb</w:t>
      </w:r>
      <w:proofErr w:type="spellEnd"/>
      <w:r w:rsidRPr="002E0D3F">
        <w:rPr>
          <w:rFonts w:ascii="Times New Roman" w:hAnsi="Times New Roman" w:cs="Times New Roman"/>
          <w:lang w:val="en-US"/>
        </w:rPr>
        <w:t>, Nunc) using anti-human IgA and IgG conjugate (</w:t>
      </w:r>
      <w:proofErr w:type="spellStart"/>
      <w:r w:rsidRPr="002E0D3F">
        <w:rPr>
          <w:rFonts w:ascii="Times New Roman" w:hAnsi="Times New Roman" w:cs="Times New Roman"/>
          <w:lang w:val="en-US"/>
        </w:rPr>
        <w:t>DakoPatts</w:t>
      </w:r>
      <w:proofErr w:type="spellEnd"/>
      <w:r w:rsidRPr="002E0D3F">
        <w:rPr>
          <w:rFonts w:ascii="Times New Roman" w:hAnsi="Times New Roman" w:cs="Times New Roman"/>
          <w:lang w:val="en-US"/>
        </w:rPr>
        <w:t xml:space="preserve">) and TMB as substrate. Sera of healthy women negative for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at entry and exit served as negative controls. Control antigens were E6 and E7 (Abcam) (positive) and BSA (negative).</w:t>
      </w:r>
    </w:p>
    <w:p w14:paraId="047345F6"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b/>
          <w:bCs/>
          <w:lang w:val="en-US"/>
        </w:rPr>
        <w:t>Results</w:t>
      </w:r>
      <w:r w:rsidRPr="002E0D3F">
        <w:rPr>
          <w:rFonts w:ascii="Times New Roman" w:hAnsi="Times New Roman" w:cs="Times New Roman"/>
          <w:lang w:val="en-US"/>
        </w:rPr>
        <w:t xml:space="preserve"> </w:t>
      </w:r>
    </w:p>
    <w:p w14:paraId="047345F7"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 xml:space="preserve">Follow-up is completed by 75 participants. Of these, 22 (25,6%) were found </w:t>
      </w:r>
      <w:proofErr w:type="spellStart"/>
      <w:proofErr w:type="gramStart"/>
      <w:r w:rsidRPr="002E0D3F">
        <w:rPr>
          <w:rFonts w:ascii="Times New Roman" w:hAnsi="Times New Roman" w:cs="Times New Roman"/>
          <w:lang w:val="en-US"/>
        </w:rPr>
        <w:t>hrHPV</w:t>
      </w:r>
      <w:proofErr w:type="spellEnd"/>
      <w:r w:rsidRPr="002E0D3F">
        <w:rPr>
          <w:rFonts w:ascii="Times New Roman" w:hAnsi="Times New Roman" w:cs="Times New Roman"/>
          <w:lang w:val="en-US"/>
        </w:rPr>
        <w:t>(</w:t>
      </w:r>
      <w:proofErr w:type="gramEnd"/>
      <w:r w:rsidRPr="002E0D3F">
        <w:rPr>
          <w:rFonts w:ascii="Times New Roman" w:hAnsi="Times New Roman" w:cs="Times New Roman"/>
          <w:lang w:val="en-US"/>
        </w:rPr>
        <w:t xml:space="preserve">+), </w:t>
      </w:r>
      <w:proofErr w:type="gramStart"/>
      <w:r w:rsidRPr="002E0D3F">
        <w:rPr>
          <w:rFonts w:ascii="Times New Roman" w:hAnsi="Times New Roman" w:cs="Times New Roman"/>
          <w:lang w:val="en-US"/>
        </w:rPr>
        <w:t>majority  (</w:t>
      </w:r>
      <w:proofErr w:type="gramEnd"/>
      <w:r w:rsidRPr="002E0D3F">
        <w:rPr>
          <w:rFonts w:ascii="Times New Roman" w:hAnsi="Times New Roman" w:cs="Times New Roman"/>
          <w:lang w:val="en-US"/>
        </w:rPr>
        <w:t xml:space="preserve">13; 59%) with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of alpha-9 family, HPV16 (8/22, 36%) and HPV33 (5/22, 27%). The latter two are highly homologous in E6 and E7, motivating antibody screening using HPV16 E6 and E7. Consensus HPV16 E6 and E7 aa sequences were designed based on HPV16 isolates sequenced in the current project (n=32) and from the East-European and Baltic regions (n=185). Consensuses were found to be identical to the reference HPV16 strain (NCBI: NC_001526.4). Expression-optimized genes encoding E6 and E7 were expressed in E coli as SUMO fusions, SUMO-tag cleave with repeated affinity chromatography yielded 95% pure proteins. A trial panel of sera of women without (Controls, C) and with cervical lesions and/or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-infection was selected (Study Group, SG) and subjected to indirect ELISA on E6- and </w:t>
      </w:r>
      <w:r w:rsidRPr="002E0D3F">
        <w:rPr>
          <w:rFonts w:ascii="Times New Roman" w:hAnsi="Times New Roman" w:cs="Times New Roman"/>
          <w:lang w:val="en-US"/>
        </w:rPr>
        <w:lastRenderedPageBreak/>
        <w:t xml:space="preserve">E7-coated plates. Test ELISA runs demonstrated similar performance of in-house to commercial E6 and E7. Analysis using in-house E6 and E7 revealed differences in E6 and E7 antibody responses. Significantly higher OD values in E6 IgG ELISA were observed in SG compared to C, up-to serum dilution 1:5000, in HPV16(+) and).  HPV33(+) patients (alpha-9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-positive) compared to controls (p&lt;0.05). Furthermore, SG were significantly more likely to be E6 Ab-positive (titer &gt;7000) than C groups. Significantly higher OD values in E7 IgG ELISA were also observed in alpha-9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-positive SG compared to C, but only at serum dilution 1:500 (p&lt;0.05). Alpha-9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-positive patients had significantly higher end-point anti-E6, but not anti-E7, serum titers than controls (Fig. 2). SG and C sere behaved similarly in ELISA using BSA. Reactivity of SG and C sera in IgA-based E6 and E7 ELISA did not differ. Associations between positivity and end-point titers of anti-E6 and anti-E7 with dynamics in positivity for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DNA and development/regression of cervical lesions will be presented. </w:t>
      </w:r>
    </w:p>
    <w:p w14:paraId="047345F8"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b/>
          <w:bCs/>
          <w:lang w:val="en-US"/>
        </w:rPr>
        <w:t>Conclusions</w:t>
      </w:r>
      <w:r w:rsidRPr="002E0D3F">
        <w:rPr>
          <w:rFonts w:ascii="Times New Roman" w:hAnsi="Times New Roman" w:cs="Times New Roman"/>
          <w:lang w:val="en-US"/>
        </w:rPr>
        <w:t xml:space="preserve"> </w:t>
      </w:r>
    </w:p>
    <w:p w14:paraId="047345F9"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 xml:space="preserve">E6 and E7 of HPV16 were efficiently expressed in E. coli from synthetic genes, purified and successfully approbated for detection of the levels of anti-E6 and anti-E7 of HPV16. Sera of women without and with varying degrees of cervical lesions differed in anti-E6 IgG, but not IgA. Positivity for anti-E6 and levels of anti-E6 IgG were significantly higher in women with lesions infected with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of alpha-9, but not other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families. Increase in the levels of anti-E6 IgG can be used to predict development of cervical lesions associated with infections with </w:t>
      </w:r>
      <w:proofErr w:type="spellStart"/>
      <w:r w:rsidRPr="002E0D3F">
        <w:rPr>
          <w:rFonts w:ascii="Times New Roman" w:hAnsi="Times New Roman" w:cs="Times New Roman"/>
          <w:lang w:val="en-US"/>
        </w:rPr>
        <w:t>hrHPVs</w:t>
      </w:r>
      <w:proofErr w:type="spellEnd"/>
      <w:r w:rsidRPr="002E0D3F">
        <w:rPr>
          <w:rFonts w:ascii="Times New Roman" w:hAnsi="Times New Roman" w:cs="Times New Roman"/>
          <w:lang w:val="en-US"/>
        </w:rPr>
        <w:t xml:space="preserve"> of alpha-9 family. </w:t>
      </w:r>
    </w:p>
    <w:p w14:paraId="047345FA" w14:textId="77777777" w:rsidR="004A7C07" w:rsidRPr="002E0D3F" w:rsidRDefault="004A7C07" w:rsidP="002E0D3F">
      <w:pPr>
        <w:spacing w:line="240" w:lineRule="auto"/>
        <w:jc w:val="both"/>
        <w:rPr>
          <w:rFonts w:ascii="Times New Roman" w:hAnsi="Times New Roman" w:cs="Times New Roman"/>
          <w:b/>
          <w:bCs/>
          <w:lang w:val="en-US"/>
        </w:rPr>
      </w:pPr>
      <w:r w:rsidRPr="002E0D3F">
        <w:rPr>
          <w:rFonts w:ascii="Times New Roman" w:hAnsi="Times New Roman" w:cs="Times New Roman"/>
          <w:b/>
          <w:bCs/>
          <w:lang w:val="en-US"/>
        </w:rPr>
        <w:t>Acknowledgements</w:t>
      </w:r>
    </w:p>
    <w:p w14:paraId="047345FB" w14:textId="77777777" w:rsidR="004A7C07" w:rsidRPr="002E0D3F" w:rsidRDefault="004A7C07" w:rsidP="002E0D3F">
      <w:pPr>
        <w:spacing w:line="240" w:lineRule="auto"/>
        <w:jc w:val="both"/>
        <w:rPr>
          <w:rFonts w:ascii="Times New Roman" w:hAnsi="Times New Roman" w:cs="Times New Roman"/>
          <w:lang w:val="en-US"/>
        </w:rPr>
      </w:pPr>
      <w:r w:rsidRPr="002E0D3F">
        <w:rPr>
          <w:rFonts w:ascii="Times New Roman" w:hAnsi="Times New Roman" w:cs="Times New Roman"/>
          <w:lang w:val="en-US"/>
        </w:rPr>
        <w:t>Latvian Science Council grant LZP-2021/1-0484</w:t>
      </w:r>
    </w:p>
    <w:p w14:paraId="047345FC" w14:textId="77777777" w:rsidR="004A7C07" w:rsidRPr="002E0D3F" w:rsidRDefault="004A7C07" w:rsidP="002E0D3F">
      <w:pPr>
        <w:spacing w:line="240" w:lineRule="auto"/>
        <w:jc w:val="both"/>
        <w:rPr>
          <w:rFonts w:ascii="Times New Roman" w:hAnsi="Times New Roman" w:cs="Times New Roman"/>
          <w:b/>
          <w:bCs/>
          <w:lang w:val="en-US"/>
        </w:rPr>
      </w:pPr>
      <w:r w:rsidRPr="002E0D3F">
        <w:rPr>
          <w:rFonts w:ascii="Times New Roman" w:hAnsi="Times New Roman" w:cs="Times New Roman"/>
          <w:b/>
          <w:bCs/>
          <w:lang w:val="en-US"/>
        </w:rPr>
        <w:t xml:space="preserve">Figure 1. </w:t>
      </w:r>
      <w:r w:rsidRPr="002E0D3F">
        <w:rPr>
          <w:rFonts w:ascii="Times New Roman" w:hAnsi="Times New Roman" w:cs="Times New Roman"/>
          <w:lang w:val="en-US"/>
        </w:rPr>
        <w:t>Comparison of the end-point titers of sera of control (</w:t>
      </w:r>
      <w:proofErr w:type="spellStart"/>
      <w:r w:rsidRPr="002E0D3F">
        <w:rPr>
          <w:rFonts w:ascii="Times New Roman" w:hAnsi="Times New Roman" w:cs="Times New Roman"/>
          <w:lang w:val="en-US"/>
        </w:rPr>
        <w:t>Cont</w:t>
      </w:r>
      <w:proofErr w:type="spellEnd"/>
      <w:r w:rsidRPr="002E0D3F">
        <w:rPr>
          <w:rFonts w:ascii="Times New Roman" w:hAnsi="Times New Roman" w:cs="Times New Roman"/>
          <w:lang w:val="en-US"/>
        </w:rPr>
        <w:t xml:space="preserve">) and </w:t>
      </w:r>
      <w:proofErr w:type="spellStart"/>
      <w:proofErr w:type="gramStart"/>
      <w:r w:rsidRPr="002E0D3F">
        <w:rPr>
          <w:rFonts w:ascii="Times New Roman" w:hAnsi="Times New Roman" w:cs="Times New Roman"/>
          <w:lang w:val="en-US"/>
        </w:rPr>
        <w:t>hrHPV</w:t>
      </w:r>
      <w:proofErr w:type="spellEnd"/>
      <w:r w:rsidRPr="002E0D3F">
        <w:rPr>
          <w:rFonts w:ascii="Times New Roman" w:hAnsi="Times New Roman" w:cs="Times New Roman"/>
          <w:lang w:val="en-US"/>
        </w:rPr>
        <w:t>(</w:t>
      </w:r>
      <w:proofErr w:type="gramEnd"/>
      <w:r w:rsidRPr="002E0D3F">
        <w:rPr>
          <w:rFonts w:ascii="Times New Roman" w:hAnsi="Times New Roman" w:cs="Times New Roman"/>
          <w:lang w:val="en-US"/>
        </w:rPr>
        <w:t xml:space="preserve">+) study groups (Pt), positive or negative for </w:t>
      </w:r>
      <w:proofErr w:type="spellStart"/>
      <w:r w:rsidRPr="002E0D3F">
        <w:rPr>
          <w:rFonts w:ascii="Times New Roman" w:hAnsi="Times New Roman" w:cs="Times New Roman"/>
          <w:lang w:val="en-US"/>
        </w:rPr>
        <w:t>hrHPV</w:t>
      </w:r>
      <w:proofErr w:type="spellEnd"/>
      <w:r w:rsidRPr="002E0D3F">
        <w:rPr>
          <w:rFonts w:ascii="Times New Roman" w:hAnsi="Times New Roman" w:cs="Times New Roman"/>
          <w:lang w:val="en-US"/>
        </w:rPr>
        <w:t xml:space="preserve"> of alpha-9 (a9+ or a9-, respectively) in ELISA for IgG antibodies against HPV16 oncoproteins E6 and E7 (Mann-Whitney test, * p&lt;0,05). </w:t>
      </w:r>
    </w:p>
    <w:p w14:paraId="047345FD" w14:textId="77777777" w:rsidR="004A7C07" w:rsidRPr="002E0D3F" w:rsidRDefault="004A7C07" w:rsidP="004A7C07">
      <w:pPr>
        <w:rPr>
          <w:rFonts w:ascii="Times New Roman" w:hAnsi="Times New Roman" w:cs="Times New Roman"/>
          <w:b/>
          <w:bCs/>
          <w:lang w:val="en-US"/>
        </w:rPr>
      </w:pPr>
      <w:r w:rsidRPr="002E0D3F">
        <w:rPr>
          <w:rFonts w:ascii="Times New Roman" w:hAnsi="Times New Roman" w:cs="Times New Roman"/>
          <w:b/>
          <w:bCs/>
          <w:noProof/>
        </w:rPr>
        <w:drawing>
          <wp:inline distT="0" distB="0" distL="0" distR="0" wp14:anchorId="047345FF" wp14:editId="04734600">
            <wp:extent cx="4197029" cy="3141133"/>
            <wp:effectExtent l="0" t="0" r="0" b="2540"/>
            <wp:docPr id="8" name="Picture 7" descr="En bild som visar text, diagram, skärmbild&#10;&#10;Automatiskt genererad beskrivning">
              <a:extLst xmlns:a="http://schemas.openxmlformats.org/drawingml/2006/main">
                <a:ext uri="{FF2B5EF4-FFF2-40B4-BE49-F238E27FC236}">
                  <a16:creationId xmlns:a16="http://schemas.microsoft.com/office/drawing/2014/main" id="{DB9C07B7-32D4-443F-98B6-176976BA6D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En bild som visar text, diagram, skärmbild&#10;&#10;Automatiskt genererad beskrivning">
                      <a:extLst>
                        <a:ext uri="{FF2B5EF4-FFF2-40B4-BE49-F238E27FC236}">
                          <a16:creationId xmlns:a16="http://schemas.microsoft.com/office/drawing/2014/main" id="{DB9C07B7-32D4-443F-98B6-176976BA6DBA}"/>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4197029" cy="3141133"/>
                    </a:xfrm>
                    <a:prstGeom prst="rect">
                      <a:avLst/>
                    </a:prstGeom>
                  </pic:spPr>
                </pic:pic>
              </a:graphicData>
            </a:graphic>
          </wp:inline>
        </w:drawing>
      </w:r>
    </w:p>
    <w:p w14:paraId="047345FE" w14:textId="77777777" w:rsidR="004341E9" w:rsidRPr="002E0D3F" w:rsidRDefault="004341E9">
      <w:pPr>
        <w:rPr>
          <w:rFonts w:ascii="Times New Roman" w:hAnsi="Times New Roman" w:cs="Times New Roman"/>
        </w:rPr>
      </w:pPr>
    </w:p>
    <w:sectPr w:rsidR="004341E9" w:rsidRPr="002E0D3F" w:rsidSect="00E27D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C07"/>
    <w:rsid w:val="002E0D3F"/>
    <w:rsid w:val="004341E9"/>
    <w:rsid w:val="00450F5A"/>
    <w:rsid w:val="004A7C07"/>
    <w:rsid w:val="004F4E1D"/>
    <w:rsid w:val="00B21885"/>
    <w:rsid w:val="00CD7582"/>
    <w:rsid w:val="00D1398E"/>
    <w:rsid w:val="00E27DF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345EA"/>
  <w15:chartTrackingRefBased/>
  <w15:docId w15:val="{7CBA9251-564C-42BC-B7FC-DDD4ED5E9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C07"/>
    <w:rPr>
      <w:kern w:val="2"/>
      <w:lang w:val="sv-SE"/>
      <w14:ligatures w14:val="standardContextual"/>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Kommentarsreferens">
    <w:name w:val="annotation reference"/>
    <w:basedOn w:val="Standardstycketeckensnitt"/>
    <w:uiPriority w:val="99"/>
    <w:semiHidden/>
    <w:unhideWhenUsed/>
    <w:rsid w:val="004A7C07"/>
    <w:rPr>
      <w:sz w:val="16"/>
      <w:szCs w:val="16"/>
    </w:rPr>
  </w:style>
  <w:style w:type="paragraph" w:styleId="Kommentarer">
    <w:name w:val="annotation text"/>
    <w:basedOn w:val="Normal"/>
    <w:link w:val="KommentarerChar"/>
    <w:uiPriority w:val="99"/>
    <w:unhideWhenUsed/>
    <w:rsid w:val="004A7C07"/>
    <w:pPr>
      <w:spacing w:line="240" w:lineRule="auto"/>
    </w:pPr>
    <w:rPr>
      <w:sz w:val="20"/>
      <w:szCs w:val="20"/>
    </w:rPr>
  </w:style>
  <w:style w:type="character" w:customStyle="1" w:styleId="KommentarerChar">
    <w:name w:val="Kommentarer Char"/>
    <w:basedOn w:val="Standardstycketeckensnitt"/>
    <w:link w:val="Kommentarer"/>
    <w:uiPriority w:val="99"/>
    <w:rsid w:val="004A7C07"/>
    <w:rPr>
      <w:kern w:val="2"/>
      <w:sz w:val="20"/>
      <w:szCs w:val="20"/>
      <w:lang w:val="sv-SE"/>
      <w14:ligatures w14:val="standardContextual"/>
    </w:rPr>
  </w:style>
  <w:style w:type="paragraph" w:styleId="Ballongtext">
    <w:name w:val="Balloon Text"/>
    <w:basedOn w:val="Normal"/>
    <w:link w:val="BallongtextChar"/>
    <w:uiPriority w:val="99"/>
    <w:semiHidden/>
    <w:unhideWhenUsed/>
    <w:rsid w:val="004A7C07"/>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4A7C07"/>
    <w:rPr>
      <w:rFonts w:ascii="Segoe UI" w:hAnsi="Segoe UI" w:cs="Segoe UI"/>
      <w:kern w:val="2"/>
      <w:sz w:val="18"/>
      <w:szCs w:val="18"/>
      <w:lang w:val="sv-S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TotalTime>
  <Pages>2</Pages>
  <Words>790</Words>
  <Characters>4726</Characters>
  <Application>Microsoft Office Word</Application>
  <DocSecurity>0</DocSecurity>
  <Lines>78</Lines>
  <Paragraphs>26</Paragraphs>
  <ScaleCrop>false</ScaleCrop>
  <Company>RSU</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Lība Sokolovska</dc:creator>
  <cp:keywords/>
  <dc:description/>
  <cp:lastModifiedBy>Maria Issagouliantis</cp:lastModifiedBy>
  <cp:revision>5</cp:revision>
  <dcterms:created xsi:type="dcterms:W3CDTF">2024-11-04T10:28:00Z</dcterms:created>
  <dcterms:modified xsi:type="dcterms:W3CDTF">2025-07-31T09:38:00Z</dcterms:modified>
</cp:coreProperties>
</file>