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AD" w:rsidRPr="004B3BAD" w:rsidRDefault="004B3BAD" w:rsidP="004B3BAD">
      <w:pPr>
        <w:spacing w:beforeAutospacing="1" w:after="0" w:afterAutospacing="1" w:line="29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lv-LV"/>
        </w:rPr>
        <w:drawing>
          <wp:inline distT="0" distB="0" distL="0" distR="0">
            <wp:extent cx="6191250" cy="1152525"/>
            <wp:effectExtent l="0" t="0" r="0" b="9525"/>
            <wp:docPr id="1" name="Picture 1" descr="http://www.aic.lv/portal/content/images/ansamblis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ic.lv/portal/content/images/ansamblis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BAD" w:rsidRPr="004B3BAD" w:rsidRDefault="004B3BAD" w:rsidP="004B3BAD">
      <w:pPr>
        <w:spacing w:before="100" w:beforeAutospacing="1" w:after="100" w:afterAutospacing="1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“Atbalsts EQAR aģentūrai izvirzīto prasību izpildei”</w:t>
      </w: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  <w:t>Nr.8.2.4.0/15/I/001</w:t>
      </w:r>
    </w:p>
    <w:p w:rsidR="004B3BAD" w:rsidRPr="004B3BAD" w:rsidRDefault="00847D48" w:rsidP="004B3BAD">
      <w:pPr>
        <w:spacing w:before="300" w:after="0" w:line="356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hyperlink r:id="rId7" w:history="1">
        <w:r w:rsidR="004B3BAD" w:rsidRPr="00847D4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ESF projekts “Atbalsts EQAR aģentūrai iz</w:t>
        </w:r>
        <w:bookmarkStart w:id="0" w:name="_GoBack"/>
        <w:bookmarkEnd w:id="0"/>
        <w:r w:rsidR="004B3BAD" w:rsidRPr="00847D4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v</w:t>
        </w:r>
        <w:r w:rsidR="004B3BAD" w:rsidRPr="00847D4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irzīto prasību izpildei”</w:t>
        </w:r>
      </w:hyperlink>
    </w:p>
    <w:p w:rsidR="004B3BAD" w:rsidRPr="004B3BAD" w:rsidRDefault="004B3BAD" w:rsidP="004B3BAD">
      <w:pPr>
        <w:spacing w:before="100" w:beforeAutospacing="1" w:after="100" w:afterAutospacing="1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Akadēmiskās informācijas centrs 08.03.2016. ir uzsācis ESF projekta </w:t>
      </w:r>
      <w:r w:rsidRPr="004B3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“Atbalsts EQAR aģentūrai izvirzīto prasību izpildei”</w:t>
      </w: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īstenošanu.</w:t>
      </w:r>
    </w:p>
    <w:p w:rsidR="004B3BAD" w:rsidRPr="004B3BAD" w:rsidRDefault="004B3BAD" w:rsidP="004B3BAD">
      <w:pPr>
        <w:spacing w:before="100" w:beforeAutospacing="1" w:after="100" w:afterAutospacing="1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Projekta mērķis</w:t>
      </w: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ir nodrošināt atbalstu Eiropas augstākās izglītības kvalitātes nodrošināšanas reģistra (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European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Quality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Assurance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Register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for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Higher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Education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EQAR) aģentūrai izvirzīto prasību izpildei, tai skaitā, aģentūras darbības kvalitātes paaugstināšanai un kapacitātes stiprināšanai.</w:t>
      </w:r>
    </w:p>
    <w:p w:rsidR="004B3BAD" w:rsidRPr="004B3BAD" w:rsidRDefault="004B3BAD" w:rsidP="004B3BAD">
      <w:pPr>
        <w:spacing w:before="100" w:beforeAutospacing="1" w:after="100" w:afterAutospacing="1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Pēc projekta īstenošanas Latvijas augstākās izglītības kvalitātes nodrošināšanas sistēma funkcionēs atbilstoši ESG (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European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Standarts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and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Guidelines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for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Quality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Assurance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 prasībām, aģentūra būs EQAR dalībniece, kas palielinās uzticamību Latvijas augstākai izglītībai un iegūtajiem diplomiem.</w:t>
      </w:r>
    </w:p>
    <w:p w:rsidR="004B3BAD" w:rsidRPr="004B3BAD" w:rsidRDefault="004B3BAD" w:rsidP="004B3BAD">
      <w:pPr>
        <w:spacing w:before="100" w:beforeAutospacing="1" w:after="100" w:afterAutospacing="1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Kvalitatīva augstākās izglītības novērtēšanas sistēma ilgtermiņā nodrošinās Eiropas augstākās izglītības telpā konkurētspējīgu izglītību un zinošu, augsti kvalificētu speciālistu sagatavošanu darba tirgum.</w:t>
      </w:r>
    </w:p>
    <w:p w:rsidR="004B3BAD" w:rsidRPr="004B3BAD" w:rsidRDefault="004B3BAD" w:rsidP="004B3BAD">
      <w:pPr>
        <w:spacing w:before="100" w:beforeAutospacing="1" w:after="100" w:afterAutospacing="1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Projekta galvenās aktivitātes:</w:t>
      </w:r>
    </w:p>
    <w:p w:rsidR="004B3BAD" w:rsidRPr="004B3BAD" w:rsidRDefault="004B3BAD" w:rsidP="004B3BAD">
      <w:pPr>
        <w:numPr>
          <w:ilvl w:val="0"/>
          <w:numId w:val="1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Akreditācijas aģentūras stratēģijas izstrāde un kvalitātes vadības sistēmas pilnveide</w:t>
      </w:r>
    </w:p>
    <w:p w:rsidR="004B3BAD" w:rsidRPr="004B3BAD" w:rsidRDefault="004B3BAD" w:rsidP="004B3BAD">
      <w:pPr>
        <w:numPr>
          <w:ilvl w:val="0"/>
          <w:numId w:val="1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proofErr w:type="spellStart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Pilotakreditāciju</w:t>
      </w:r>
      <w:proofErr w:type="spellEnd"/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 xml:space="preserve"> īstenošana 12 augstākās izglītības institūcijās</w:t>
      </w:r>
    </w:p>
    <w:p w:rsidR="004B3BAD" w:rsidRPr="004B3BAD" w:rsidRDefault="004B3BAD" w:rsidP="004B3BAD">
      <w:pPr>
        <w:numPr>
          <w:ilvl w:val="0"/>
          <w:numId w:val="1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Akreditācijas aģentūras ārējā ekspertīze</w:t>
      </w:r>
    </w:p>
    <w:p w:rsidR="004B3BAD" w:rsidRPr="004B3BAD" w:rsidRDefault="004B3BAD" w:rsidP="004B3BAD">
      <w:pPr>
        <w:numPr>
          <w:ilvl w:val="0"/>
          <w:numId w:val="1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E-platformas izstrāde akreditācijas procesam un augstākās izglītības kvalitātes monitoringam </w:t>
      </w:r>
    </w:p>
    <w:p w:rsidR="004B3BAD" w:rsidRPr="004B3BAD" w:rsidRDefault="004B3BAD" w:rsidP="004B3BAD">
      <w:pPr>
        <w:numPr>
          <w:ilvl w:val="0"/>
          <w:numId w:val="1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Apmācības un semināri ārējās un iekšējās kvalitātes nodrošināšanas jautājumos </w:t>
      </w:r>
    </w:p>
    <w:p w:rsidR="004B3BAD" w:rsidRPr="004B3BAD" w:rsidRDefault="004B3BAD" w:rsidP="004B3BAD">
      <w:pPr>
        <w:numPr>
          <w:ilvl w:val="0"/>
          <w:numId w:val="1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Dalība Eiropas asociācijās un citās starptautiskajās organizācijās augstākās izglītības kvalitātes nodrošināšanas jomā</w:t>
      </w:r>
    </w:p>
    <w:p w:rsidR="004B3BAD" w:rsidRPr="004B3BAD" w:rsidRDefault="004B3BAD" w:rsidP="004B3BAD">
      <w:pPr>
        <w:spacing w:before="100" w:beforeAutospacing="1" w:after="100" w:afterAutospacing="1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Projekta partneri: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Augstākās izglītības padome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Lietuvas augstākās izglītības kvalitātes nodrošināšanas centrs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Banku augstskola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Sabiedrība ar ierobežotu atbildību “Baltijas Starptautiskā akadēmija”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lastRenderedPageBreak/>
        <w:t>Daugavpils Universitāte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Liepājas Universitāte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Latvijas Universitāte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Olaines Mehānikas un tehnoloģiju koledža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Rīgas Aeronavigācijas institūts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Rīgas Celtniecības koledža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Rīgas Stradiņa universitāte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Rīgas Tehniskā universitāte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Ventspils Augstskola</w:t>
      </w:r>
    </w:p>
    <w:p w:rsidR="004B3BAD" w:rsidRPr="004B3BAD" w:rsidRDefault="004B3BAD" w:rsidP="004B3BAD">
      <w:pPr>
        <w:numPr>
          <w:ilvl w:val="0"/>
          <w:numId w:val="2"/>
        </w:numPr>
        <w:spacing w:after="0" w:line="240" w:lineRule="auto"/>
        <w:ind w:left="8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Vidzemes augstskola</w:t>
      </w:r>
    </w:p>
    <w:p w:rsidR="004B3BAD" w:rsidRPr="004B3BAD" w:rsidRDefault="004B3BAD" w:rsidP="004B3BAD">
      <w:pPr>
        <w:spacing w:before="100" w:beforeAutospacing="1" w:after="100" w:afterAutospacing="1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Projekta īstenošanas periods: 08.03.2016. – 07.09.2019.</w:t>
      </w:r>
    </w:p>
    <w:p w:rsidR="004B3BAD" w:rsidRPr="004B3BAD" w:rsidRDefault="004B3BAD" w:rsidP="004B3BAD">
      <w:pPr>
        <w:spacing w:before="100" w:beforeAutospacing="1" w:after="100" w:afterAutospacing="1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Projekta kopējais budžets: 1500000</w:t>
      </w:r>
    </w:p>
    <w:p w:rsidR="004B3BAD" w:rsidRPr="004B3BAD" w:rsidRDefault="004B3BAD" w:rsidP="004B3BAD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ESF finansējums: 1275000</w:t>
      </w:r>
    </w:p>
    <w:p w:rsidR="004B3BAD" w:rsidRPr="004B3BAD" w:rsidRDefault="004B3BAD" w:rsidP="004B3BAD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Valsts budžeta līdzfinansējums: 225000</w:t>
      </w:r>
    </w:p>
    <w:p w:rsidR="004B3BAD" w:rsidRPr="004B3BAD" w:rsidRDefault="004B3BAD" w:rsidP="004B3BAD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ESF finansējums: 85%</w:t>
      </w:r>
    </w:p>
    <w:p w:rsidR="004B3BAD" w:rsidRPr="004B3BAD" w:rsidRDefault="004B3BAD" w:rsidP="004B3BAD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B3B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v-LV"/>
        </w:rPr>
        <w:t>Valsts budžeta finansējums: 15%</w:t>
      </w:r>
    </w:p>
    <w:p w:rsidR="00BC3973" w:rsidRPr="004B3BAD" w:rsidRDefault="00BC3973">
      <w:pPr>
        <w:rPr>
          <w:rFonts w:ascii="Times New Roman" w:hAnsi="Times New Roman" w:cs="Times New Roman"/>
          <w:sz w:val="24"/>
          <w:szCs w:val="24"/>
        </w:rPr>
      </w:pPr>
    </w:p>
    <w:sectPr w:rsidR="00BC3973" w:rsidRPr="004B3B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92D46"/>
    <w:multiLevelType w:val="multilevel"/>
    <w:tmpl w:val="105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A0F79"/>
    <w:multiLevelType w:val="multilevel"/>
    <w:tmpl w:val="8B42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845F9"/>
    <w:multiLevelType w:val="multilevel"/>
    <w:tmpl w:val="249E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AD"/>
    <w:rsid w:val="004B3BAD"/>
    <w:rsid w:val="00847D48"/>
    <w:rsid w:val="00BC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3A3248-DCF9-4183-AA67-C6D6A8EE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3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3BA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4B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47D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7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c.lv/portal/par-aic/projekti/esf-projekts/aktualit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ic.lv/portal/content/images/ansamblis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Briede</dc:creator>
  <cp:keywords/>
  <dc:description/>
  <cp:lastModifiedBy>Dagnija Briede</cp:lastModifiedBy>
  <cp:revision>2</cp:revision>
  <dcterms:created xsi:type="dcterms:W3CDTF">2018-03-07T11:55:00Z</dcterms:created>
  <dcterms:modified xsi:type="dcterms:W3CDTF">2018-03-07T12:02:00Z</dcterms:modified>
</cp:coreProperties>
</file>