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6629"/>
        <w:gridCol w:w="1214"/>
      </w:tblGrid>
      <w:tr w:rsidR="00B91AA1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Default="00255074" w:rsidP="00255074">
            <w:pPr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F49E4" w:rsidRPr="000E429F" w:rsidRDefault="005042A0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z_laukuma_rgb-LV_8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Default="00255074" w:rsidP="00255074">
            <w:pPr>
              <w:jc w:val="center"/>
              <w:rPr>
                <w:szCs w:val="28"/>
              </w:rPr>
            </w:pPr>
          </w:p>
        </w:tc>
      </w:tr>
      <w:tr w:rsidR="00B91AA1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255074" w:rsidRDefault="005042A0" w:rsidP="00255074">
            <w:pPr>
              <w:jc w:val="center"/>
              <w:rPr>
                <w:szCs w:val="28"/>
              </w:rPr>
            </w:pP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</w:t>
            </w:r>
            <w:r w:rsidR="00DE5F9F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 xml:space="preserve"> k-1</w:t>
            </w: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 xml:space="preserve">, Rīga, LV-1011, tālr. 67876000, e-pasts </w:t>
            </w:r>
            <w:r w:rsidR="00541D22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pasts@vm.gov.lv</w:t>
            </w: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, www.vm.gov.lv</w:t>
            </w:r>
          </w:p>
        </w:tc>
      </w:tr>
      <w:tr w:rsidR="00B91AA1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169" w:rsidRDefault="005042A0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RĪKOJUMS</w:t>
            </w:r>
          </w:p>
          <w:p w:rsidR="00950DCC" w:rsidRDefault="00950DCC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074" w:rsidRDefault="005042A0" w:rsidP="00D538CC">
            <w:pPr>
              <w:jc w:val="center"/>
              <w:rPr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:rsidR="00255074" w:rsidRPr="00FC1D1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91AA1" w:rsidTr="00DE5DEA">
        <w:tc>
          <w:tcPr>
            <w:tcW w:w="4530" w:type="dxa"/>
          </w:tcPr>
          <w:p w:rsidR="00DE5DEA" w:rsidRPr="00DE5DEA" w:rsidRDefault="005042A0" w:rsidP="006541D3">
            <w:pPr>
              <w:rPr>
                <w:rFonts w:ascii="Times New Roman" w:hAnsi="Times New Roman"/>
                <w:sz w:val="20"/>
                <w:szCs w:val="20"/>
              </w:rPr>
            </w:pPr>
            <w:r w:rsidRPr="000646D9">
              <w:rPr>
                <w:rFonts w:ascii="Times New Roman" w:hAnsi="Times New Roman"/>
                <w:noProof/>
                <w:sz w:val="28"/>
                <w:szCs w:val="28"/>
              </w:rPr>
              <w:t>26.08.2025</w:t>
            </w:r>
            <w:r w:rsidR="000C34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:rsidR="00DE5DEA" w:rsidRDefault="005042A0" w:rsidP="00960E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E5DEA">
              <w:rPr>
                <w:rFonts w:ascii="Times New Roman" w:hAnsi="Times New Roman"/>
                <w:sz w:val="28"/>
                <w:szCs w:val="28"/>
              </w:rPr>
              <w:t xml:space="preserve">Nr. </w:t>
            </w:r>
            <w:r w:rsidRPr="00DE5DEA">
              <w:rPr>
                <w:rFonts w:ascii="Times New Roman" w:hAnsi="Times New Roman"/>
                <w:noProof/>
                <w:sz w:val="28"/>
                <w:szCs w:val="28"/>
              </w:rPr>
              <w:t>01-01.1/132</w:t>
            </w:r>
          </w:p>
        </w:tc>
      </w:tr>
    </w:tbl>
    <w:p w:rsidR="006541D3" w:rsidRPr="00FC1D1C" w:rsidRDefault="006541D3" w:rsidP="006541D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91AA1" w:rsidTr="005C1721">
        <w:tc>
          <w:tcPr>
            <w:tcW w:w="4530" w:type="dxa"/>
          </w:tcPr>
          <w:p w:rsidR="00A477D6" w:rsidRPr="00A477D6" w:rsidRDefault="005042A0" w:rsidP="005C17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Par grozījumiem Veselības ministrijas 2025.gada 31.marta rīkojumā Nr.73 “Par rezidentūras vietu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skaitu 2025./2026.studiju gadā”</w:t>
            </w:r>
          </w:p>
        </w:tc>
        <w:tc>
          <w:tcPr>
            <w:tcW w:w="4531" w:type="dxa"/>
          </w:tcPr>
          <w:p w:rsidR="00A477D6" w:rsidRPr="00A477D6" w:rsidRDefault="00A477D6" w:rsidP="005C1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24C3" w:rsidRPr="00D538CC" w:rsidRDefault="00D824C3" w:rsidP="00A477D6">
      <w:pPr>
        <w:pStyle w:val="pamattekststabul"/>
        <w:spacing w:before="0" w:beforeAutospacing="0" w:after="0" w:afterAutospacing="0"/>
        <w:ind w:firstLine="720"/>
        <w:rPr>
          <w:sz w:val="28"/>
          <w:szCs w:val="28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91AA1" w:rsidTr="00051F84">
        <w:tc>
          <w:tcPr>
            <w:tcW w:w="4530" w:type="dxa"/>
          </w:tcPr>
          <w:p w:rsidR="00F80026" w:rsidRDefault="00F80026" w:rsidP="00051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F80026" w:rsidRPr="001B5145" w:rsidRDefault="005042A0" w:rsidP="00051F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5145">
              <w:rPr>
                <w:rFonts w:ascii="Times New Roman" w:hAnsi="Times New Roman"/>
                <w:sz w:val="28"/>
                <w:szCs w:val="28"/>
              </w:rPr>
              <w:t xml:space="preserve">Izdots saskaņā ar Ministru kabineta </w:t>
            </w:r>
          </w:p>
          <w:p w:rsidR="00F80026" w:rsidRPr="00A477D6" w:rsidRDefault="005042A0" w:rsidP="00051F8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5145">
              <w:rPr>
                <w:rFonts w:ascii="Times New Roman" w:hAnsi="Times New Roman"/>
                <w:sz w:val="28"/>
                <w:szCs w:val="28"/>
              </w:rPr>
              <w:t>2011. gada 30. augusta noteikumu Nr. 685 "Rezidentu uzņemšanas, sadales un rezidentūras finansēšanas kārtība" 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5145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un 4.</w:t>
            </w:r>
            <w:r w:rsidRPr="00A838FF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1B5145">
              <w:rPr>
                <w:rFonts w:ascii="Times New Roman" w:hAnsi="Times New Roman"/>
                <w:sz w:val="28"/>
                <w:szCs w:val="28"/>
              </w:rPr>
              <w:t>punktu</w:t>
            </w:r>
          </w:p>
        </w:tc>
      </w:tr>
    </w:tbl>
    <w:p w:rsidR="00F80026" w:rsidRPr="00D538CC" w:rsidRDefault="00F80026" w:rsidP="00F80026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</w:p>
    <w:p w:rsidR="00F80026" w:rsidRDefault="005042A0" w:rsidP="00F8002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6114">
        <w:rPr>
          <w:rFonts w:ascii="Times New Roman" w:hAnsi="Times New Roman"/>
          <w:sz w:val="28"/>
          <w:szCs w:val="28"/>
        </w:rPr>
        <w:t xml:space="preserve">Ņemot vērā augstskolu vienotās uzņemšanas komisijas organizēto pretendentu pieteikšanos rezidentūras studiju programmās, kā rezultātā netika aizpildītas visas </w:t>
      </w:r>
      <w:r>
        <w:rPr>
          <w:rFonts w:ascii="Times New Roman" w:hAnsi="Times New Roman"/>
          <w:sz w:val="28"/>
          <w:szCs w:val="28"/>
        </w:rPr>
        <w:t xml:space="preserve">ar </w:t>
      </w:r>
      <w:r w:rsidRPr="00576114">
        <w:rPr>
          <w:rFonts w:ascii="Times New Roman" w:hAnsi="Times New Roman"/>
          <w:sz w:val="28"/>
          <w:szCs w:val="28"/>
        </w:rPr>
        <w:t>Veselības ministrijas 202</w:t>
      </w:r>
      <w:r>
        <w:rPr>
          <w:rFonts w:ascii="Times New Roman" w:hAnsi="Times New Roman"/>
          <w:sz w:val="28"/>
          <w:szCs w:val="28"/>
        </w:rPr>
        <w:t>5</w:t>
      </w:r>
      <w:r w:rsidRPr="00576114">
        <w:rPr>
          <w:rFonts w:ascii="Times New Roman" w:hAnsi="Times New Roman"/>
          <w:sz w:val="28"/>
          <w:szCs w:val="28"/>
        </w:rPr>
        <w:t xml:space="preserve">.gada </w:t>
      </w:r>
      <w:r>
        <w:rPr>
          <w:rFonts w:ascii="Times New Roman" w:hAnsi="Times New Roman"/>
          <w:sz w:val="28"/>
          <w:szCs w:val="28"/>
        </w:rPr>
        <w:t>31.marta</w:t>
      </w:r>
      <w:r w:rsidRPr="00576114">
        <w:rPr>
          <w:rFonts w:ascii="Times New Roman" w:hAnsi="Times New Roman"/>
          <w:sz w:val="28"/>
          <w:szCs w:val="28"/>
        </w:rPr>
        <w:t xml:space="preserve"> rīkojum</w:t>
      </w:r>
      <w:r>
        <w:rPr>
          <w:rFonts w:ascii="Times New Roman" w:hAnsi="Times New Roman"/>
          <w:sz w:val="28"/>
          <w:szCs w:val="28"/>
        </w:rPr>
        <w:t xml:space="preserve">u Nr. 73 </w:t>
      </w:r>
      <w:r w:rsidRPr="00576114">
        <w:rPr>
          <w:rFonts w:ascii="Times New Roman" w:hAnsi="Times New Roman"/>
          <w:sz w:val="28"/>
          <w:szCs w:val="28"/>
        </w:rPr>
        <w:t>"Par rezidentūras vietu skaitu 202</w:t>
      </w:r>
      <w:r>
        <w:rPr>
          <w:rFonts w:ascii="Times New Roman" w:hAnsi="Times New Roman"/>
          <w:sz w:val="28"/>
          <w:szCs w:val="28"/>
        </w:rPr>
        <w:t>5</w:t>
      </w:r>
      <w:r w:rsidRPr="00576114">
        <w:rPr>
          <w:rFonts w:ascii="Times New Roman" w:hAnsi="Times New Roman"/>
          <w:sz w:val="28"/>
          <w:szCs w:val="28"/>
        </w:rPr>
        <w:t>./202</w:t>
      </w:r>
      <w:r>
        <w:rPr>
          <w:rFonts w:ascii="Times New Roman" w:hAnsi="Times New Roman"/>
          <w:sz w:val="28"/>
          <w:szCs w:val="28"/>
        </w:rPr>
        <w:t>6</w:t>
      </w:r>
      <w:r w:rsidRPr="00576114">
        <w:rPr>
          <w:rFonts w:ascii="Times New Roman" w:hAnsi="Times New Roman"/>
          <w:sz w:val="28"/>
          <w:szCs w:val="28"/>
        </w:rPr>
        <w:t xml:space="preserve">.studiju gadā" </w:t>
      </w:r>
      <w:r>
        <w:rPr>
          <w:rFonts w:ascii="Times New Roman" w:hAnsi="Times New Roman"/>
          <w:sz w:val="28"/>
          <w:szCs w:val="28"/>
        </w:rPr>
        <w:t xml:space="preserve">(turpmāk – Rīkojums) </w:t>
      </w:r>
      <w:r w:rsidRPr="00576114">
        <w:rPr>
          <w:rFonts w:ascii="Times New Roman" w:hAnsi="Times New Roman"/>
          <w:sz w:val="28"/>
          <w:szCs w:val="28"/>
        </w:rPr>
        <w:t>noteiktās rezidentūras vietas,</w:t>
      </w:r>
      <w:r>
        <w:rPr>
          <w:rFonts w:ascii="Times New Roman" w:hAnsi="Times New Roman"/>
          <w:sz w:val="28"/>
          <w:szCs w:val="28"/>
        </w:rPr>
        <w:t xml:space="preserve"> kā arī ņemot vērā, ka ir stājies spēkā normatīvais </w:t>
      </w:r>
      <w:r w:rsidRPr="006E18C8">
        <w:rPr>
          <w:rFonts w:ascii="Times New Roman" w:hAnsi="Times New Roman"/>
          <w:sz w:val="28"/>
          <w:szCs w:val="28"/>
        </w:rPr>
        <w:t>regulējums</w:t>
      </w:r>
      <w:r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6E18C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E18C8">
        <w:rPr>
          <w:rFonts w:ascii="Times New Roman" w:hAnsi="Times New Roman"/>
          <w:sz w:val="28"/>
          <w:szCs w:val="28"/>
        </w:rPr>
        <w:t>par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0EA">
        <w:rPr>
          <w:rFonts w:ascii="Times New Roman" w:hAnsi="Times New Roman"/>
          <w:sz w:val="28"/>
          <w:szCs w:val="28"/>
        </w:rPr>
        <w:t>apakšspecialitāšu</w:t>
      </w:r>
      <w:proofErr w:type="spellEnd"/>
      <w:r w:rsidRPr="00EB10E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EB10EA">
        <w:rPr>
          <w:rFonts w:ascii="Times New Roman" w:hAnsi="Times New Roman"/>
          <w:sz w:val="28"/>
          <w:szCs w:val="28"/>
        </w:rPr>
        <w:t>papildspecialitāšu</w:t>
      </w:r>
      <w:proofErr w:type="spellEnd"/>
      <w:r w:rsidRPr="00EB10EA">
        <w:rPr>
          <w:rFonts w:ascii="Times New Roman" w:hAnsi="Times New Roman"/>
          <w:sz w:val="28"/>
          <w:szCs w:val="28"/>
        </w:rPr>
        <w:t xml:space="preserve"> rezidentūras programmu īstenošan</w:t>
      </w:r>
      <w:r>
        <w:rPr>
          <w:rFonts w:ascii="Times New Roman" w:hAnsi="Times New Roman"/>
          <w:sz w:val="28"/>
          <w:szCs w:val="28"/>
        </w:rPr>
        <w:t>as iespēju</w:t>
      </w:r>
      <w:r w:rsidRPr="00EB10EA">
        <w:rPr>
          <w:rFonts w:ascii="Times New Roman" w:hAnsi="Times New Roman"/>
          <w:sz w:val="28"/>
          <w:szCs w:val="28"/>
        </w:rPr>
        <w:t xml:space="preserve"> profesionālajā tālākizglītībā, </w:t>
      </w:r>
      <w:r>
        <w:rPr>
          <w:rFonts w:ascii="Times New Roman" w:hAnsi="Times New Roman"/>
          <w:sz w:val="28"/>
          <w:szCs w:val="28"/>
        </w:rPr>
        <w:t>la</w:t>
      </w:r>
      <w:r>
        <w:rPr>
          <w:rFonts w:ascii="Times New Roman" w:hAnsi="Times New Roman"/>
          <w:sz w:val="28"/>
          <w:szCs w:val="28"/>
        </w:rPr>
        <w:t>i veicinātu mērķtiecīgu rezidentu piesaisti ārstniecības iestādēm veselības aprūpes pakalpojumu nodrošināšanai, a</w:t>
      </w:r>
      <w:r w:rsidRPr="00F12EC6">
        <w:rPr>
          <w:rFonts w:ascii="Times New Roman" w:hAnsi="Times New Roman"/>
          <w:sz w:val="28"/>
          <w:szCs w:val="28"/>
        </w:rPr>
        <w:t xml:space="preserve">tbilstoši ar Veselības ministrijas </w:t>
      </w:r>
      <w:r>
        <w:rPr>
          <w:rFonts w:ascii="Times New Roman" w:hAnsi="Times New Roman"/>
          <w:sz w:val="28"/>
          <w:szCs w:val="28"/>
        </w:rPr>
        <w:t>2025.gada 23.janvāra</w:t>
      </w:r>
      <w:r w:rsidRPr="00F12EC6">
        <w:rPr>
          <w:rFonts w:ascii="Times New Roman" w:hAnsi="Times New Roman"/>
          <w:sz w:val="28"/>
          <w:szCs w:val="28"/>
        </w:rPr>
        <w:t xml:space="preserve"> rīkojumu </w:t>
      </w:r>
      <w:r>
        <w:rPr>
          <w:rFonts w:ascii="Times New Roman" w:hAnsi="Times New Roman"/>
          <w:sz w:val="28"/>
          <w:szCs w:val="28"/>
        </w:rPr>
        <w:t xml:space="preserve">Nr. </w:t>
      </w:r>
      <w:r w:rsidRPr="00321DBF">
        <w:rPr>
          <w:rFonts w:ascii="Times New Roman" w:hAnsi="Times New Roman"/>
          <w:sz w:val="28"/>
          <w:szCs w:val="28"/>
        </w:rPr>
        <w:t xml:space="preserve">21 </w:t>
      </w:r>
      <w:r w:rsidRPr="00F12EC6">
        <w:rPr>
          <w:rFonts w:ascii="Times New Roman" w:hAnsi="Times New Roman"/>
          <w:sz w:val="28"/>
          <w:szCs w:val="28"/>
        </w:rPr>
        <w:t>“</w:t>
      </w:r>
      <w:r w:rsidRPr="00321DBF">
        <w:rPr>
          <w:rFonts w:ascii="Times New Roman" w:hAnsi="Times New Roman"/>
          <w:sz w:val="28"/>
          <w:szCs w:val="28"/>
        </w:rPr>
        <w:t>Par darba grupas izveidi rezidentūras vietu noteikšanai ārstniecības i</w:t>
      </w:r>
      <w:r w:rsidRPr="00321DBF">
        <w:rPr>
          <w:rFonts w:ascii="Times New Roman" w:hAnsi="Times New Roman"/>
          <w:sz w:val="28"/>
          <w:szCs w:val="28"/>
        </w:rPr>
        <w:t>estādēs 2025.gadā</w:t>
      </w:r>
      <w:r w:rsidRPr="00F12EC6">
        <w:rPr>
          <w:rFonts w:ascii="Times New Roman" w:hAnsi="Times New Roman"/>
          <w:sz w:val="28"/>
          <w:szCs w:val="28"/>
        </w:rPr>
        <w:t>” izveidotās darba grupas izstrādātaj</w:t>
      </w:r>
      <w:r>
        <w:rPr>
          <w:rFonts w:ascii="Times New Roman" w:hAnsi="Times New Roman"/>
          <w:sz w:val="28"/>
          <w:szCs w:val="28"/>
        </w:rPr>
        <w:t>ie</w:t>
      </w:r>
      <w:r w:rsidRPr="00F12EC6">
        <w:rPr>
          <w:rFonts w:ascii="Times New Roman" w:hAnsi="Times New Roman"/>
          <w:sz w:val="28"/>
          <w:szCs w:val="28"/>
        </w:rPr>
        <w:t>m priekšlikum</w:t>
      </w:r>
      <w:r>
        <w:rPr>
          <w:rFonts w:ascii="Times New Roman" w:hAnsi="Times New Roman"/>
          <w:sz w:val="28"/>
          <w:szCs w:val="28"/>
        </w:rPr>
        <w:t>ie</w:t>
      </w:r>
      <w:r w:rsidRPr="00F12EC6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6114">
        <w:rPr>
          <w:rFonts w:ascii="Times New Roman" w:hAnsi="Times New Roman"/>
          <w:sz w:val="28"/>
          <w:szCs w:val="28"/>
        </w:rPr>
        <w:t>izdarīt</w:t>
      </w:r>
      <w:r>
        <w:rPr>
          <w:rFonts w:ascii="Times New Roman" w:hAnsi="Times New Roman"/>
          <w:sz w:val="28"/>
          <w:szCs w:val="28"/>
        </w:rPr>
        <w:t xml:space="preserve"> šādus</w:t>
      </w:r>
      <w:r w:rsidRPr="00576114">
        <w:rPr>
          <w:rFonts w:ascii="Times New Roman" w:hAnsi="Times New Roman"/>
          <w:sz w:val="28"/>
          <w:szCs w:val="28"/>
        </w:rPr>
        <w:t xml:space="preserve"> grozījum</w:t>
      </w:r>
      <w:r>
        <w:rPr>
          <w:rFonts w:ascii="Times New Roman" w:hAnsi="Times New Roman"/>
          <w:sz w:val="28"/>
          <w:szCs w:val="28"/>
        </w:rPr>
        <w:t>us</w:t>
      </w:r>
      <w:r w:rsidRPr="005761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Rīkojumā:</w:t>
      </w:r>
    </w:p>
    <w:p w:rsidR="00F80026" w:rsidRPr="00854C7A" w:rsidRDefault="00F80026" w:rsidP="00F8002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0026" w:rsidRDefault="005042A0" w:rsidP="00F800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Izteikt Rīkojuma 1.punktu šādā redakcijā:</w:t>
      </w:r>
    </w:p>
    <w:p w:rsidR="00F80026" w:rsidRPr="00D538CC" w:rsidRDefault="00F80026" w:rsidP="00F80026">
      <w:pPr>
        <w:pStyle w:val="pamattekststabul"/>
        <w:spacing w:before="0" w:beforeAutospacing="0" w:after="0" w:afterAutospacing="0"/>
        <w:ind w:firstLine="720"/>
        <w:rPr>
          <w:sz w:val="28"/>
          <w:szCs w:val="28"/>
          <w:lang w:val="lv-LV"/>
        </w:rPr>
      </w:pPr>
    </w:p>
    <w:p w:rsidR="00F80026" w:rsidRPr="00823B80" w:rsidRDefault="005042A0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“1. A</w:t>
      </w:r>
      <w:r w:rsidRPr="00F36C0D">
        <w:rPr>
          <w:sz w:val="28"/>
          <w:szCs w:val="28"/>
          <w:lang w:val="lv-LV"/>
        </w:rPr>
        <w:t xml:space="preserve">pstiprināt </w:t>
      </w:r>
      <w:r w:rsidRPr="00FC60DC">
        <w:rPr>
          <w:sz w:val="28"/>
          <w:szCs w:val="28"/>
          <w:lang w:val="lv-LV"/>
        </w:rPr>
        <w:t>no valsts budžeta līdzekļiem finansējamās rezidentūras vietas</w:t>
      </w:r>
      <w:r>
        <w:rPr>
          <w:sz w:val="28"/>
          <w:szCs w:val="28"/>
          <w:lang w:val="lv-LV"/>
        </w:rPr>
        <w:t xml:space="preserve"> uzņemšanā </w:t>
      </w:r>
      <w:r w:rsidRPr="00823B80">
        <w:rPr>
          <w:sz w:val="28"/>
          <w:szCs w:val="28"/>
          <w:lang w:val="lv-LV"/>
        </w:rPr>
        <w:t xml:space="preserve">302 rezidentu apmācībai 2025./2026.studiju gadā, indikatīvi noteikt no valsts budžeta līdzekļiem finansējamās rezidentūras vietas </w:t>
      </w:r>
      <w:r w:rsidRPr="00823B80">
        <w:rPr>
          <w:sz w:val="28"/>
          <w:szCs w:val="28"/>
          <w:lang w:val="lv-LV"/>
        </w:rPr>
        <w:lastRenderedPageBreak/>
        <w:t xml:space="preserve">uzņemšanā </w:t>
      </w:r>
      <w:r w:rsidR="003713A6" w:rsidRPr="00823B80">
        <w:rPr>
          <w:sz w:val="28"/>
          <w:szCs w:val="28"/>
          <w:lang w:val="lv-LV"/>
        </w:rPr>
        <w:t>300</w:t>
      </w:r>
      <w:r w:rsidRPr="00823B80">
        <w:rPr>
          <w:sz w:val="28"/>
          <w:szCs w:val="28"/>
          <w:lang w:val="lv-LV"/>
        </w:rPr>
        <w:t xml:space="preserve"> rezidentu apmācībai 2026./2027.studiju gadā, un indikatīvi noteikt no valsts budžeta līdzekļiem finansējamās rez</w:t>
      </w:r>
      <w:r w:rsidRPr="00823B80">
        <w:rPr>
          <w:sz w:val="28"/>
          <w:szCs w:val="28"/>
          <w:lang w:val="lv-LV"/>
        </w:rPr>
        <w:t>identūras vietas uzņemšanā 296 rezidentu apmācībai 2027./2028.studiju gadā, nodrošinot no valsts budžeta līdzekļiem finansētu rezidentu apmācību ārstniecības iestādēs:</w:t>
      </w:r>
    </w:p>
    <w:p w:rsidR="00F80026" w:rsidRPr="00823B80" w:rsidRDefault="005042A0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 w:rsidRPr="00823B80">
        <w:rPr>
          <w:sz w:val="28"/>
          <w:szCs w:val="28"/>
          <w:lang w:val="lv-LV"/>
        </w:rPr>
        <w:t>1.1.klīniskajās universitāšu slimnīcās, reģionu daudzprofilu slimnīcās  un specializētaj</w:t>
      </w:r>
      <w:r w:rsidRPr="00823B80">
        <w:rPr>
          <w:sz w:val="28"/>
          <w:szCs w:val="28"/>
          <w:lang w:val="lv-LV"/>
        </w:rPr>
        <w:t>ās ārstniecības iestādēs</w:t>
      </w:r>
      <w:r>
        <w:rPr>
          <w:rStyle w:val="FootnoteReference"/>
          <w:sz w:val="28"/>
          <w:szCs w:val="28"/>
          <w:lang w:val="lv-LV"/>
        </w:rPr>
        <w:footnoteReference w:id="2"/>
      </w:r>
      <w:r w:rsidRPr="00823B80">
        <w:rPr>
          <w:sz w:val="28"/>
          <w:szCs w:val="28"/>
          <w:lang w:val="lv-LV"/>
        </w:rPr>
        <w:t xml:space="preserve">  – 2025./2026.gadā 239 rezidentu apmācība, indikatīvi 2026./2027.studiju gadā 237 rezidentu apmācība, indikatīvi 2027./2028.studiju gadā 234 rezidentu apmācība;</w:t>
      </w:r>
    </w:p>
    <w:p w:rsidR="00F80026" w:rsidRDefault="005042A0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 w:rsidRPr="00823B80">
        <w:rPr>
          <w:sz w:val="28"/>
          <w:szCs w:val="28"/>
          <w:lang w:val="lv-LV"/>
        </w:rPr>
        <w:t>1.2. ģimenes (vispārējās prakses) ārsta specialitātē – 2025./2026.gad</w:t>
      </w:r>
      <w:r w:rsidRPr="00823B80">
        <w:rPr>
          <w:sz w:val="28"/>
          <w:szCs w:val="28"/>
          <w:lang w:val="lv-LV"/>
        </w:rPr>
        <w:t xml:space="preserve">ā 45 </w:t>
      </w:r>
      <w:r w:rsidRPr="002B4A0E">
        <w:rPr>
          <w:sz w:val="28"/>
          <w:szCs w:val="28"/>
          <w:lang w:val="lv-LV"/>
        </w:rPr>
        <w:t xml:space="preserve">rezidentu apmācība, </w:t>
      </w:r>
      <w:r>
        <w:rPr>
          <w:sz w:val="28"/>
          <w:szCs w:val="28"/>
          <w:lang w:val="lv-LV"/>
        </w:rPr>
        <w:t xml:space="preserve">indikatīvi </w:t>
      </w:r>
      <w:r w:rsidRPr="002B4A0E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.studiju gadā </w:t>
      </w:r>
      <w:r>
        <w:rPr>
          <w:sz w:val="28"/>
          <w:szCs w:val="28"/>
          <w:lang w:val="lv-LV"/>
        </w:rPr>
        <w:t>47</w:t>
      </w:r>
      <w:r w:rsidRPr="002B4A0E">
        <w:rPr>
          <w:sz w:val="28"/>
          <w:szCs w:val="28"/>
          <w:lang w:val="lv-LV"/>
        </w:rPr>
        <w:t xml:space="preserve"> rezidentu apmācība,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 xml:space="preserve">.studiju gadā </w:t>
      </w:r>
      <w:r>
        <w:rPr>
          <w:sz w:val="28"/>
          <w:szCs w:val="28"/>
          <w:lang w:val="lv-LV"/>
        </w:rPr>
        <w:t>46</w:t>
      </w:r>
      <w:r w:rsidRPr="002B4A0E">
        <w:rPr>
          <w:sz w:val="28"/>
          <w:szCs w:val="28"/>
          <w:lang w:val="lv-LV"/>
        </w:rPr>
        <w:t xml:space="preserve"> rezidentu apmācība;</w:t>
      </w:r>
    </w:p>
    <w:p w:rsidR="00F80026" w:rsidRDefault="005042A0" w:rsidP="00F80026">
      <w:pPr>
        <w:pStyle w:val="pamattekststabul"/>
        <w:tabs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1.3. a</w:t>
      </w:r>
      <w:r w:rsidRPr="00F12EC6">
        <w:rPr>
          <w:sz w:val="28"/>
          <w:szCs w:val="28"/>
          <w:lang w:val="lv-LV"/>
        </w:rPr>
        <w:t xml:space="preserve">mbulatorajās ārstniecības iestādēs, kam ir noslēgts līgums ar Nacionālo veselības dienestu par valsts </w:t>
      </w:r>
      <w:r w:rsidRPr="00F12EC6">
        <w:rPr>
          <w:sz w:val="28"/>
          <w:szCs w:val="28"/>
          <w:lang w:val="lv-LV"/>
        </w:rPr>
        <w:t>apmaksātu sekundāro ambulatoro veselības aprūpes pakalpojumu nodrošināšanu</w:t>
      </w:r>
      <w:r>
        <w:rPr>
          <w:vertAlign w:val="superscript"/>
        </w:rPr>
        <w:footnoteReference w:id="3"/>
      </w:r>
      <w:r w:rsidRPr="002B4A0E">
        <w:rPr>
          <w:sz w:val="28"/>
          <w:szCs w:val="28"/>
          <w:lang w:val="lv-LV"/>
        </w:rPr>
        <w:t xml:space="preserve"> – 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 xml:space="preserve">.gadā </w:t>
      </w:r>
      <w:r>
        <w:rPr>
          <w:sz w:val="28"/>
          <w:szCs w:val="28"/>
          <w:lang w:val="lv-LV"/>
        </w:rPr>
        <w:t>18</w:t>
      </w:r>
      <w:r w:rsidRPr="002B4A0E">
        <w:rPr>
          <w:sz w:val="28"/>
          <w:szCs w:val="28"/>
          <w:lang w:val="lv-LV"/>
        </w:rPr>
        <w:t xml:space="preserve"> rezidentu apmācība,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.studiju gadā </w:t>
      </w:r>
      <w:r>
        <w:rPr>
          <w:sz w:val="28"/>
          <w:szCs w:val="28"/>
          <w:lang w:val="lv-LV"/>
        </w:rPr>
        <w:t>16</w:t>
      </w:r>
      <w:r w:rsidRPr="002B4A0E">
        <w:rPr>
          <w:sz w:val="28"/>
          <w:szCs w:val="28"/>
          <w:lang w:val="lv-LV"/>
        </w:rPr>
        <w:t xml:space="preserve"> rezidentu apmācība,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 xml:space="preserve">.studiju gadā </w:t>
      </w:r>
      <w:r>
        <w:rPr>
          <w:sz w:val="28"/>
          <w:szCs w:val="28"/>
          <w:lang w:val="lv-LV"/>
        </w:rPr>
        <w:t xml:space="preserve">16 </w:t>
      </w:r>
      <w:r w:rsidRPr="002B4A0E">
        <w:rPr>
          <w:sz w:val="28"/>
          <w:szCs w:val="28"/>
          <w:lang w:val="lv-LV"/>
        </w:rPr>
        <w:t>rezidentu apmācība</w:t>
      </w:r>
      <w:r>
        <w:rPr>
          <w:sz w:val="28"/>
          <w:szCs w:val="28"/>
          <w:lang w:val="lv-LV"/>
        </w:rPr>
        <w:t>.”</w:t>
      </w:r>
    </w:p>
    <w:p w:rsidR="00F80026" w:rsidRDefault="00F80026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</w:p>
    <w:p w:rsidR="00F80026" w:rsidRDefault="005042A0" w:rsidP="006E18C8">
      <w:pPr>
        <w:pStyle w:val="pamattekststabul"/>
        <w:numPr>
          <w:ilvl w:val="0"/>
          <w:numId w:val="2"/>
        </w:numPr>
        <w:tabs>
          <w:tab w:val="left" w:pos="426"/>
          <w:tab w:val="left" w:pos="7155"/>
        </w:tabs>
        <w:spacing w:before="0" w:beforeAutospacing="0" w:after="0" w:afterAutospacing="0"/>
        <w:ind w:left="567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Svītrot Rīkojuma 2.punkta otro teikumu un </w:t>
      </w:r>
      <w:r w:rsidR="00FF5998">
        <w:rPr>
          <w:sz w:val="28"/>
          <w:szCs w:val="28"/>
          <w:lang w:val="lv-LV"/>
        </w:rPr>
        <w:t>3.</w:t>
      </w:r>
      <w:r>
        <w:rPr>
          <w:sz w:val="28"/>
          <w:szCs w:val="28"/>
          <w:lang w:val="lv-LV"/>
        </w:rPr>
        <w:t xml:space="preserve"> zemsvītras atsauc</w:t>
      </w:r>
      <w:r w:rsidR="00FF5998">
        <w:rPr>
          <w:sz w:val="28"/>
          <w:szCs w:val="28"/>
          <w:lang w:val="lv-LV"/>
        </w:rPr>
        <w:t>es</w:t>
      </w:r>
      <w:r>
        <w:rPr>
          <w:sz w:val="28"/>
          <w:szCs w:val="28"/>
          <w:lang w:val="lv-LV"/>
        </w:rPr>
        <w:t xml:space="preserve">. </w:t>
      </w:r>
    </w:p>
    <w:p w:rsidR="00F80026" w:rsidRDefault="00F80026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</w:p>
    <w:p w:rsidR="00F80026" w:rsidRPr="00823B80" w:rsidRDefault="005042A0" w:rsidP="006E18C8">
      <w:pPr>
        <w:pStyle w:val="pamattekststabul"/>
        <w:numPr>
          <w:ilvl w:val="0"/>
          <w:numId w:val="2"/>
        </w:numPr>
        <w:tabs>
          <w:tab w:val="left" w:pos="426"/>
          <w:tab w:val="left" w:pos="7155"/>
        </w:tabs>
        <w:spacing w:before="0" w:beforeAutospacing="0" w:after="0" w:afterAutospacing="0"/>
        <w:ind w:left="567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A049D8">
        <w:rPr>
          <w:sz w:val="28"/>
          <w:szCs w:val="28"/>
          <w:lang w:val="lv-LV"/>
        </w:rPr>
        <w:t xml:space="preserve">Izteikt Rīkojuma </w:t>
      </w:r>
      <w:r>
        <w:rPr>
          <w:sz w:val="28"/>
          <w:szCs w:val="28"/>
          <w:lang w:val="lv-LV"/>
        </w:rPr>
        <w:t>5</w:t>
      </w:r>
      <w:r w:rsidRPr="00A049D8">
        <w:rPr>
          <w:sz w:val="28"/>
          <w:szCs w:val="28"/>
          <w:lang w:val="lv-LV"/>
        </w:rPr>
        <w:t>.punkt</w:t>
      </w:r>
      <w:r w:rsidR="00823B80">
        <w:rPr>
          <w:sz w:val="28"/>
          <w:szCs w:val="28"/>
          <w:lang w:val="lv-LV"/>
        </w:rPr>
        <w:t xml:space="preserve">a 5.1 un 5.2.apakšpunktu </w:t>
      </w:r>
      <w:r w:rsidRPr="00823B80">
        <w:rPr>
          <w:sz w:val="28"/>
          <w:szCs w:val="28"/>
          <w:lang w:val="lv-LV"/>
        </w:rPr>
        <w:t>šādā redakcijā:</w:t>
      </w:r>
    </w:p>
    <w:p w:rsidR="00F80026" w:rsidRPr="00823B80" w:rsidRDefault="005042A0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  <w:r w:rsidRPr="00823B80">
        <w:rPr>
          <w:sz w:val="28"/>
          <w:szCs w:val="28"/>
          <w:lang w:val="lv-LV"/>
        </w:rPr>
        <w:t xml:space="preserve">“5.1. rezidentūras vietu skaits stacionārajās ārstniecības iestādēs no kopējā 2025./2026.gadā noteiktā rezidentūras vietu </w:t>
      </w:r>
      <w:r w:rsidRPr="00823B80">
        <w:rPr>
          <w:sz w:val="28"/>
          <w:szCs w:val="28"/>
          <w:lang w:val="lv-LV"/>
        </w:rPr>
        <w:t>skaita ir vismaz 79%, no tām, vismaz 3</w:t>
      </w:r>
      <w:r w:rsidR="006E18C8" w:rsidRPr="00823B80">
        <w:rPr>
          <w:sz w:val="28"/>
          <w:szCs w:val="28"/>
          <w:lang w:val="lv-LV"/>
        </w:rPr>
        <w:t>6</w:t>
      </w:r>
      <w:r w:rsidRPr="00823B80">
        <w:rPr>
          <w:sz w:val="28"/>
          <w:szCs w:val="28"/>
          <w:lang w:val="lv-LV"/>
        </w:rPr>
        <w:t xml:space="preserve">% slimnīcās ārpus Rīgas; </w:t>
      </w:r>
    </w:p>
    <w:p w:rsidR="00F80026" w:rsidRDefault="005042A0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  <w:r w:rsidRPr="00823B80">
        <w:rPr>
          <w:sz w:val="28"/>
          <w:szCs w:val="28"/>
          <w:lang w:val="lv-LV"/>
        </w:rPr>
        <w:t>5.2. ārstniecības iestādēs ģimenes (vispārējās prakses) ārsta specialitātē – vismaz 15 %;</w:t>
      </w:r>
      <w:r>
        <w:rPr>
          <w:sz w:val="28"/>
          <w:szCs w:val="28"/>
          <w:lang w:val="lv-LV"/>
        </w:rPr>
        <w:t>”</w:t>
      </w:r>
    </w:p>
    <w:p w:rsidR="00F80026" w:rsidRDefault="00F80026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</w:p>
    <w:p w:rsidR="00F80026" w:rsidRDefault="005042A0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  <w:t>4. Izteikt Rīkojuma</w:t>
      </w:r>
      <w:r w:rsidRPr="002B4A0E">
        <w:rPr>
          <w:sz w:val="28"/>
          <w:szCs w:val="28"/>
          <w:lang w:val="lv-LV"/>
        </w:rPr>
        <w:t xml:space="preserve"> 1.</w:t>
      </w:r>
      <w:r>
        <w:rPr>
          <w:sz w:val="28"/>
          <w:szCs w:val="28"/>
          <w:lang w:val="lv-LV"/>
        </w:rPr>
        <w:t>, 2. un 3.pielikumu jaunā redakcijā (skatīt pielikumā).</w:t>
      </w:r>
    </w:p>
    <w:p w:rsidR="00F80026" w:rsidRDefault="00F80026" w:rsidP="00F80026">
      <w:pPr>
        <w:spacing w:after="0"/>
      </w:pPr>
    </w:p>
    <w:p w:rsidR="00F80026" w:rsidRDefault="005042A0" w:rsidP="00F80026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Pielikumā:</w:t>
      </w:r>
    </w:p>
    <w:p w:rsidR="00F80026" w:rsidRDefault="005042A0" w:rsidP="00F80026">
      <w:pPr>
        <w:pStyle w:val="pamattekststabul"/>
        <w:numPr>
          <w:ilvl w:val="0"/>
          <w:numId w:val="1"/>
        </w:numPr>
        <w:tabs>
          <w:tab w:val="left" w:pos="426"/>
          <w:tab w:val="left" w:pos="7155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  <w:bookmarkStart w:id="1" w:name="_Hlk162265134"/>
      <w:r>
        <w:rPr>
          <w:sz w:val="28"/>
          <w:szCs w:val="28"/>
          <w:lang w:val="lv-LV"/>
        </w:rPr>
        <w:t>R</w:t>
      </w:r>
      <w:r w:rsidRPr="002B4A0E">
        <w:rPr>
          <w:sz w:val="28"/>
          <w:szCs w:val="28"/>
          <w:lang w:val="lv-LV"/>
        </w:rPr>
        <w:t>ezident</w:t>
      </w:r>
      <w:r w:rsidRPr="002B4A0E">
        <w:rPr>
          <w:sz w:val="28"/>
          <w:szCs w:val="28"/>
          <w:lang w:val="lv-LV"/>
        </w:rPr>
        <w:t>ūras vietu skait</w:t>
      </w:r>
      <w:r>
        <w:rPr>
          <w:sz w:val="28"/>
          <w:szCs w:val="28"/>
          <w:lang w:val="lv-LV"/>
        </w:rPr>
        <w:t>s</w:t>
      </w:r>
      <w:r w:rsidRPr="002B4A0E">
        <w:rPr>
          <w:sz w:val="28"/>
          <w:szCs w:val="28"/>
          <w:lang w:val="lv-LV"/>
        </w:rPr>
        <w:t xml:space="preserve"> uzņemšanā sadalījumā pa specialitātēm klīniskajās universitāšu slimnīcās, reģionu daudzprofilu slimnīcās, specializētajās </w:t>
      </w:r>
      <w:r>
        <w:rPr>
          <w:sz w:val="28"/>
          <w:szCs w:val="28"/>
          <w:lang w:val="lv-LV"/>
        </w:rPr>
        <w:t>slimnīcās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 gadā un indikatīvi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 un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>.gadā</w:t>
      </w:r>
      <w:bookmarkEnd w:id="1"/>
      <w:r>
        <w:rPr>
          <w:sz w:val="28"/>
          <w:szCs w:val="28"/>
          <w:lang w:val="lv-LV"/>
        </w:rPr>
        <w:t xml:space="preserve"> (datne: </w:t>
      </w:r>
      <w:r w:rsidRPr="004B52E7">
        <w:rPr>
          <w:sz w:val="28"/>
          <w:szCs w:val="28"/>
          <w:lang w:val="lv-LV"/>
        </w:rPr>
        <w:t>VMrikp_</w:t>
      </w:r>
      <w:r w:rsidR="003713A6">
        <w:rPr>
          <w:sz w:val="28"/>
          <w:szCs w:val="28"/>
          <w:lang w:val="lv-LV"/>
        </w:rPr>
        <w:t>22</w:t>
      </w:r>
      <w:r>
        <w:rPr>
          <w:sz w:val="28"/>
          <w:szCs w:val="28"/>
          <w:lang w:val="lv-LV"/>
        </w:rPr>
        <w:t>0825</w:t>
      </w:r>
      <w:r w:rsidRPr="004B52E7">
        <w:rPr>
          <w:sz w:val="28"/>
          <w:szCs w:val="28"/>
          <w:lang w:val="lv-LV"/>
        </w:rPr>
        <w:t>_1pielikums)</w:t>
      </w:r>
      <w:r>
        <w:rPr>
          <w:sz w:val="28"/>
          <w:szCs w:val="28"/>
          <w:lang w:val="lv-LV"/>
        </w:rPr>
        <w:t>;</w:t>
      </w:r>
    </w:p>
    <w:p w:rsidR="00F80026" w:rsidRDefault="005042A0" w:rsidP="00F80026">
      <w:pPr>
        <w:pStyle w:val="pamattekststabul"/>
        <w:numPr>
          <w:ilvl w:val="0"/>
          <w:numId w:val="1"/>
        </w:numPr>
        <w:tabs>
          <w:tab w:val="left" w:pos="426"/>
          <w:tab w:val="left" w:pos="7155"/>
        </w:tabs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Rezidentūras vietu </w:t>
      </w:r>
      <w:r w:rsidRPr="00F36C0D">
        <w:rPr>
          <w:sz w:val="28"/>
          <w:szCs w:val="28"/>
          <w:lang w:val="lv-LV"/>
        </w:rPr>
        <w:t>skait</w:t>
      </w:r>
      <w:r>
        <w:rPr>
          <w:sz w:val="28"/>
          <w:szCs w:val="28"/>
          <w:lang w:val="lv-LV"/>
        </w:rPr>
        <w:t>s</w:t>
      </w:r>
      <w:r w:rsidRPr="00F36C0D">
        <w:rPr>
          <w:sz w:val="28"/>
          <w:szCs w:val="28"/>
          <w:lang w:val="lv-LV"/>
        </w:rPr>
        <w:t xml:space="preserve"> uzņemšanā </w:t>
      </w:r>
      <w:r>
        <w:rPr>
          <w:sz w:val="28"/>
          <w:szCs w:val="28"/>
          <w:lang w:val="lv-LV"/>
        </w:rPr>
        <w:t>sadalījumā pa ārstniecības iestādēm ģ</w:t>
      </w:r>
      <w:r w:rsidRPr="005C41E3">
        <w:rPr>
          <w:sz w:val="28"/>
          <w:szCs w:val="28"/>
          <w:lang w:val="lv-LV"/>
        </w:rPr>
        <w:t>imenes (vispārējās prakses) ārst</w:t>
      </w:r>
      <w:r>
        <w:rPr>
          <w:sz w:val="28"/>
          <w:szCs w:val="28"/>
          <w:lang w:val="lv-LV"/>
        </w:rPr>
        <w:t xml:space="preserve">a specialitātē 2025./2026. gadā un indikatīvi 2026./2027. un 2027./2028.gadā (datne: </w:t>
      </w:r>
      <w:r w:rsidRPr="004B52E7">
        <w:rPr>
          <w:sz w:val="28"/>
          <w:szCs w:val="28"/>
          <w:lang w:val="lv-LV"/>
        </w:rPr>
        <w:t>VMrikp_</w:t>
      </w:r>
      <w:r w:rsidR="003713A6">
        <w:rPr>
          <w:sz w:val="28"/>
          <w:szCs w:val="28"/>
          <w:lang w:val="lv-LV"/>
        </w:rPr>
        <w:t>22</w:t>
      </w:r>
      <w:r>
        <w:rPr>
          <w:sz w:val="28"/>
          <w:szCs w:val="28"/>
          <w:lang w:val="lv-LV"/>
        </w:rPr>
        <w:t>08</w:t>
      </w:r>
      <w:r w:rsidRPr="004B52E7">
        <w:rPr>
          <w:sz w:val="28"/>
          <w:szCs w:val="28"/>
          <w:lang w:val="lv-LV"/>
        </w:rPr>
        <w:t>2</w:t>
      </w:r>
      <w:r>
        <w:rPr>
          <w:sz w:val="28"/>
          <w:szCs w:val="28"/>
          <w:lang w:val="lv-LV"/>
        </w:rPr>
        <w:t>5</w:t>
      </w:r>
      <w:r w:rsidRPr="004B52E7">
        <w:rPr>
          <w:sz w:val="28"/>
          <w:szCs w:val="28"/>
          <w:lang w:val="lv-LV"/>
        </w:rPr>
        <w:t>_2pielikums</w:t>
      </w:r>
      <w:r>
        <w:rPr>
          <w:sz w:val="28"/>
          <w:szCs w:val="28"/>
          <w:lang w:val="lv-LV"/>
        </w:rPr>
        <w:t>);</w:t>
      </w:r>
    </w:p>
    <w:p w:rsidR="00F80026" w:rsidRPr="00CD53CD" w:rsidRDefault="005042A0" w:rsidP="00F80026">
      <w:pPr>
        <w:pStyle w:val="pamattekststabul"/>
        <w:numPr>
          <w:ilvl w:val="0"/>
          <w:numId w:val="1"/>
        </w:numPr>
        <w:tabs>
          <w:tab w:val="left" w:pos="426"/>
          <w:tab w:val="left" w:pos="7155"/>
        </w:tabs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R</w:t>
      </w:r>
      <w:r w:rsidRPr="00286207">
        <w:rPr>
          <w:sz w:val="28"/>
          <w:szCs w:val="28"/>
          <w:lang w:val="lv-LV"/>
        </w:rPr>
        <w:t>ezidentūras vietu skait</w:t>
      </w:r>
      <w:r>
        <w:rPr>
          <w:sz w:val="28"/>
          <w:szCs w:val="28"/>
          <w:lang w:val="lv-LV"/>
        </w:rPr>
        <w:t>s</w:t>
      </w:r>
      <w:r w:rsidRPr="00286207">
        <w:rPr>
          <w:sz w:val="28"/>
          <w:szCs w:val="28"/>
          <w:lang w:val="lv-LV"/>
        </w:rPr>
        <w:t xml:space="preserve"> uzņemšanā sad</w:t>
      </w:r>
      <w:r w:rsidRPr="00286207">
        <w:rPr>
          <w:sz w:val="28"/>
          <w:szCs w:val="28"/>
          <w:lang w:val="lv-LV"/>
        </w:rPr>
        <w:t>alījumā pa specialitātēm</w:t>
      </w:r>
      <w:r>
        <w:rPr>
          <w:sz w:val="28"/>
          <w:szCs w:val="28"/>
          <w:lang w:val="lv-LV"/>
        </w:rPr>
        <w:t xml:space="preserve"> ambulatorajās </w:t>
      </w:r>
      <w:r w:rsidRPr="00286207">
        <w:rPr>
          <w:sz w:val="28"/>
          <w:szCs w:val="28"/>
          <w:lang w:val="lv-LV"/>
        </w:rPr>
        <w:t xml:space="preserve">ārstniecības iestādēs, kam ir noslēgts līgums ar Nacionālo </w:t>
      </w:r>
      <w:r>
        <w:rPr>
          <w:sz w:val="28"/>
          <w:szCs w:val="28"/>
          <w:lang w:val="lv-LV"/>
        </w:rPr>
        <w:t>v</w:t>
      </w:r>
      <w:r w:rsidRPr="00286207">
        <w:rPr>
          <w:sz w:val="28"/>
          <w:szCs w:val="28"/>
          <w:lang w:val="lv-LV"/>
        </w:rPr>
        <w:t>eselības dienestu par valsts apmaksātu veselības aprūpes pakalpojumu nodrošināšanu sekundāro ambulatoro pakalpojumu līmenī 202</w:t>
      </w:r>
      <w:r>
        <w:rPr>
          <w:sz w:val="28"/>
          <w:szCs w:val="28"/>
          <w:lang w:val="lv-LV"/>
        </w:rPr>
        <w:t>5</w:t>
      </w:r>
      <w:r w:rsidRPr="00286207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86207">
        <w:rPr>
          <w:sz w:val="28"/>
          <w:szCs w:val="28"/>
          <w:lang w:val="lv-LV"/>
        </w:rPr>
        <w:t xml:space="preserve">. </w:t>
      </w:r>
      <w:r w:rsidRPr="00286207">
        <w:rPr>
          <w:sz w:val="28"/>
          <w:szCs w:val="28"/>
          <w:lang w:val="lv-LV"/>
        </w:rPr>
        <w:lastRenderedPageBreak/>
        <w:t>gadā un indikatīvi 202</w:t>
      </w:r>
      <w:r>
        <w:rPr>
          <w:sz w:val="28"/>
          <w:szCs w:val="28"/>
          <w:lang w:val="lv-LV"/>
        </w:rPr>
        <w:t>6</w:t>
      </w:r>
      <w:r w:rsidRPr="00286207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86207">
        <w:rPr>
          <w:sz w:val="28"/>
          <w:szCs w:val="28"/>
          <w:lang w:val="lv-LV"/>
        </w:rPr>
        <w:t>. un 202</w:t>
      </w:r>
      <w:r>
        <w:rPr>
          <w:sz w:val="28"/>
          <w:szCs w:val="28"/>
          <w:lang w:val="lv-LV"/>
        </w:rPr>
        <w:t>7</w:t>
      </w:r>
      <w:r w:rsidRPr="00286207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86207">
        <w:rPr>
          <w:sz w:val="28"/>
          <w:szCs w:val="28"/>
          <w:lang w:val="lv-LV"/>
        </w:rPr>
        <w:t>.gadā</w:t>
      </w:r>
      <w:r>
        <w:rPr>
          <w:sz w:val="28"/>
          <w:szCs w:val="28"/>
          <w:lang w:val="lv-LV"/>
        </w:rPr>
        <w:t xml:space="preserve"> (datne: </w:t>
      </w:r>
      <w:r w:rsidRPr="004B52E7">
        <w:rPr>
          <w:sz w:val="28"/>
          <w:szCs w:val="28"/>
          <w:lang w:val="lv-LV"/>
        </w:rPr>
        <w:t>VMrikp_</w:t>
      </w:r>
      <w:r w:rsidR="003713A6">
        <w:rPr>
          <w:sz w:val="28"/>
          <w:szCs w:val="28"/>
          <w:lang w:val="lv-LV"/>
        </w:rPr>
        <w:t>22</w:t>
      </w:r>
      <w:r>
        <w:rPr>
          <w:sz w:val="28"/>
          <w:szCs w:val="28"/>
          <w:lang w:val="lv-LV"/>
        </w:rPr>
        <w:t>0825</w:t>
      </w:r>
      <w:r w:rsidRPr="004B52E7">
        <w:rPr>
          <w:sz w:val="28"/>
          <w:szCs w:val="28"/>
          <w:lang w:val="lv-LV"/>
        </w:rPr>
        <w:t>_3pielikums)</w:t>
      </w:r>
      <w:r>
        <w:rPr>
          <w:sz w:val="28"/>
          <w:szCs w:val="28"/>
          <w:lang w:val="lv-LV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4676"/>
      </w:tblGrid>
      <w:tr w:rsidR="00B91AA1" w:rsidTr="00FD0384">
        <w:tc>
          <w:tcPr>
            <w:tcW w:w="3119" w:type="dxa"/>
          </w:tcPr>
          <w:p w:rsidR="00950DCC" w:rsidRPr="005A3EEC" w:rsidRDefault="005042A0" w:rsidP="00FD0384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bookmarkStart w:id="2" w:name="_Hlk167181672"/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Veselības ministrs</w:t>
            </w:r>
          </w:p>
        </w:tc>
        <w:tc>
          <w:tcPr>
            <w:tcW w:w="1276" w:type="dxa"/>
            <w:vAlign w:val="center"/>
          </w:tcPr>
          <w:p w:rsidR="00950DCC" w:rsidRPr="005A3EEC" w:rsidRDefault="005042A0" w:rsidP="00FD038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676" w:type="dxa"/>
          </w:tcPr>
          <w:p w:rsidR="00950DCC" w:rsidRPr="005A3EEC" w:rsidRDefault="005042A0" w:rsidP="00FD0384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Hosams Abu Meri</w:t>
            </w:r>
          </w:p>
        </w:tc>
      </w:tr>
      <w:bookmarkEnd w:id="2"/>
    </w:tbl>
    <w:p w:rsidR="008616C4" w:rsidRDefault="008616C4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0C348C" w:rsidRDefault="000C348C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6E18C8" w:rsidRDefault="006E18C8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6E18C8" w:rsidRDefault="006E18C8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6E18C8" w:rsidRDefault="006E18C8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6E18C8" w:rsidRDefault="006E18C8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6E18C8" w:rsidRDefault="006E18C8" w:rsidP="006541D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91AA1" w:rsidTr="000C348C">
        <w:tc>
          <w:tcPr>
            <w:tcW w:w="9072" w:type="dxa"/>
          </w:tcPr>
          <w:p w:rsidR="000C348C" w:rsidRPr="005A3EEC" w:rsidRDefault="005042A0" w:rsidP="000C348C">
            <w:pPr>
              <w:pStyle w:val="pamattekststabul"/>
              <w:spacing w:before="0" w:beforeAutospacing="0" w:after="0" w:afterAutospacing="0"/>
              <w:rPr>
                <w:lang w:val="lv-LV"/>
              </w:rPr>
            </w:pPr>
            <w:r w:rsidRPr="005A3EEC">
              <w:rPr>
                <w:noProof/>
                <w:lang w:val="lv-LV"/>
              </w:rPr>
              <w:t>Daina Brante</w:t>
            </w:r>
            <w:r w:rsidRPr="005A3EEC">
              <w:rPr>
                <w:lang w:val="lv-LV"/>
              </w:rPr>
              <w:t xml:space="preserve">  </w:t>
            </w:r>
            <w:r w:rsidRPr="005A3EEC">
              <w:rPr>
                <w:noProof/>
                <w:lang w:val="lv-LV"/>
              </w:rPr>
              <w:t>67876082</w:t>
            </w:r>
          </w:p>
          <w:p w:rsidR="000C348C" w:rsidRPr="000C348C" w:rsidRDefault="005042A0" w:rsidP="000C348C">
            <w:pPr>
              <w:tabs>
                <w:tab w:val="right" w:pos="9356"/>
              </w:tabs>
              <w:rPr>
                <w:rFonts w:ascii="Times New Roman" w:hAnsi="Times New Roman"/>
                <w:sz w:val="24"/>
                <w:szCs w:val="24"/>
              </w:rPr>
            </w:pPr>
            <w:r w:rsidRPr="003756FE">
              <w:rPr>
                <w:rFonts w:ascii="Times New Roman" w:hAnsi="Times New Roman"/>
                <w:noProof/>
                <w:sz w:val="24"/>
                <w:szCs w:val="24"/>
              </w:rPr>
              <w:t>daina.brante@vm.gov.lv</w:t>
            </w:r>
          </w:p>
        </w:tc>
      </w:tr>
    </w:tbl>
    <w:p w:rsidR="00B8001B" w:rsidRDefault="00B8001B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8616C4" w:rsidRDefault="008616C4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043295" w:rsidRDefault="00043295">
      <w:pPr>
        <w:widowControl/>
        <w:rPr>
          <w:rFonts w:ascii="Times New Roman" w:hAnsi="Times New Roman"/>
          <w:sz w:val="28"/>
          <w:szCs w:val="28"/>
        </w:rPr>
      </w:pPr>
    </w:p>
    <w:p w:rsidR="008616C4" w:rsidRDefault="008616C4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9A146B" w:rsidRPr="00445732" w:rsidRDefault="009A146B" w:rsidP="00950DCC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</w:p>
    <w:sectPr w:rsidR="009A146B" w:rsidRPr="00445732" w:rsidSect="005862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042A0">
      <w:pPr>
        <w:spacing w:after="0" w:line="240" w:lineRule="auto"/>
      </w:pPr>
      <w:r>
        <w:separator/>
      </w:r>
    </w:p>
  </w:endnote>
  <w:endnote w:type="continuationSeparator" w:id="0">
    <w:p w:rsidR="00000000" w:rsidRDefault="0050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C4" w:rsidRDefault="005042A0" w:rsidP="00B8001B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:rsidR="00043295" w:rsidRPr="009D36CB" w:rsidRDefault="00043295" w:rsidP="00B8001B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C4" w:rsidRDefault="005042A0" w:rsidP="00A477D6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>*Dokuments ir parakstīts ar drošu elektronisko parakstu un satur laika zīmogu</w:t>
    </w:r>
  </w:p>
  <w:p w:rsidR="00A477D6" w:rsidRDefault="00A477D6" w:rsidP="00F40BB4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998" w:rsidRDefault="005042A0">
      <w:pPr>
        <w:spacing w:after="0" w:line="240" w:lineRule="auto"/>
      </w:pPr>
      <w:r>
        <w:separator/>
      </w:r>
    </w:p>
  </w:footnote>
  <w:footnote w:type="continuationSeparator" w:id="0">
    <w:p w:rsidR="00FF5998" w:rsidRDefault="005042A0">
      <w:pPr>
        <w:spacing w:after="0" w:line="240" w:lineRule="auto"/>
      </w:pPr>
      <w:r>
        <w:continuationSeparator/>
      </w:r>
    </w:p>
  </w:footnote>
  <w:footnote w:id="1">
    <w:p w:rsidR="00F80026" w:rsidRPr="00115223" w:rsidRDefault="005042A0" w:rsidP="00F80026">
      <w:pPr>
        <w:pStyle w:val="FootnoteText"/>
        <w:rPr>
          <w:rFonts w:ascii="Times New Roman" w:hAnsi="Times New Roman"/>
        </w:rPr>
      </w:pPr>
      <w:r w:rsidRPr="00115223">
        <w:rPr>
          <w:rStyle w:val="FootnoteReference"/>
          <w:rFonts w:ascii="Times New Roman" w:hAnsi="Times New Roman"/>
        </w:rPr>
        <w:footnoteRef/>
      </w:r>
      <w:r w:rsidRPr="00115223">
        <w:rPr>
          <w:rFonts w:ascii="Times New Roman" w:hAnsi="Times New Roman"/>
        </w:rPr>
        <w:t xml:space="preserve"> Profesionālās izglītības likuma 25.panta 7.daļa</w:t>
      </w:r>
    </w:p>
  </w:footnote>
  <w:footnote w:id="2">
    <w:p w:rsidR="00F80026" w:rsidRPr="00774038" w:rsidRDefault="005042A0" w:rsidP="00F80026">
      <w:pPr>
        <w:pStyle w:val="FootnoteText"/>
        <w:rPr>
          <w:rFonts w:ascii="Times New Roman" w:hAnsi="Times New Roman"/>
        </w:rPr>
      </w:pPr>
      <w:r w:rsidRPr="00774038">
        <w:rPr>
          <w:rStyle w:val="FootnoteReference"/>
          <w:rFonts w:ascii="Times New Roman" w:hAnsi="Times New Roman"/>
        </w:rPr>
        <w:footnoteRef/>
      </w:r>
      <w:r w:rsidRPr="00774038">
        <w:rPr>
          <w:rFonts w:ascii="Times New Roman" w:hAnsi="Times New Roman"/>
        </w:rPr>
        <w:t xml:space="preserve"> </w:t>
      </w:r>
      <w:r w:rsidRPr="00774038">
        <w:rPr>
          <w:rFonts w:ascii="Times New Roman" w:hAnsi="Times New Roman"/>
        </w:rPr>
        <w:t xml:space="preserve">Tajā skaitā </w:t>
      </w:r>
      <w:r>
        <w:rPr>
          <w:rFonts w:ascii="Times New Roman" w:hAnsi="Times New Roman"/>
        </w:rPr>
        <w:t xml:space="preserve"> </w:t>
      </w:r>
      <w:r w:rsidRPr="003E2EB9">
        <w:rPr>
          <w:rFonts w:ascii="Times New Roman" w:hAnsi="Times New Roman"/>
        </w:rPr>
        <w:t>Valsts asinsdonoru centrs</w:t>
      </w:r>
      <w:r>
        <w:rPr>
          <w:rFonts w:ascii="Times New Roman" w:hAnsi="Times New Roman"/>
        </w:rPr>
        <w:t xml:space="preserve">, </w:t>
      </w:r>
      <w:r w:rsidRPr="001A48C1">
        <w:rPr>
          <w:rFonts w:ascii="Times New Roman" w:hAnsi="Times New Roman"/>
        </w:rPr>
        <w:t>SIA "Rīgas Stradiņa universitātes Stomatoloģijas institūts"</w:t>
      </w:r>
      <w:r>
        <w:rPr>
          <w:rFonts w:ascii="Times New Roman" w:hAnsi="Times New Roman"/>
        </w:rPr>
        <w:t xml:space="preserve">, </w:t>
      </w:r>
      <w:r w:rsidRPr="00130EA0">
        <w:rPr>
          <w:rFonts w:ascii="Times New Roman" w:hAnsi="Times New Roman"/>
        </w:rPr>
        <w:t>Valsts tiesu medicīnas ekspertīzes centrs</w:t>
      </w:r>
      <w:r w:rsidR="00FC0E51">
        <w:rPr>
          <w:rFonts w:ascii="Times New Roman" w:hAnsi="Times New Roman"/>
        </w:rPr>
        <w:t>, Veselības inspekcija</w:t>
      </w:r>
    </w:p>
  </w:footnote>
  <w:footnote w:id="3">
    <w:p w:rsidR="00F80026" w:rsidRPr="00774038" w:rsidRDefault="005042A0" w:rsidP="00F80026">
      <w:pPr>
        <w:pStyle w:val="FootnoteText"/>
        <w:rPr>
          <w:rFonts w:ascii="Times New Roman" w:hAnsi="Times New Roman"/>
        </w:rPr>
      </w:pPr>
      <w:r w:rsidRPr="00774038">
        <w:rPr>
          <w:rStyle w:val="FootnoteReference"/>
          <w:rFonts w:ascii="Times New Roman" w:hAnsi="Times New Roman"/>
        </w:rPr>
        <w:t xml:space="preserve">2 </w:t>
      </w:r>
      <w:r w:rsidRPr="00774038">
        <w:rPr>
          <w:rFonts w:ascii="Times New Roman" w:hAnsi="Times New Roman"/>
        </w:rPr>
        <w:t xml:space="preserve"> </w:t>
      </w:r>
      <w:r w:rsidRPr="00774038">
        <w:rPr>
          <w:rFonts w:ascii="Times New Roman" w:hAnsi="Times New Roman"/>
        </w:rPr>
        <w:t>Izņemot stacionāro ārstniecības iestāžu ambulatoro pakalpojumu struktūrvienības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2100642358"/>
      <w:docPartObj>
        <w:docPartGallery w:val="Page Numbers (Top of Page)"/>
        <w:docPartUnique/>
      </w:docPartObj>
    </w:sdtPr>
    <w:sdtEndPr/>
    <w:sdtContent>
      <w:p w:rsidR="005E06C4" w:rsidRPr="00126258" w:rsidRDefault="005042A0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5A475B">
          <w:rPr>
            <w:rFonts w:ascii="Times New Roman" w:hAnsi="Times New Roman"/>
            <w:noProof/>
            <w:sz w:val="24"/>
            <w:szCs w:val="24"/>
          </w:rPr>
          <w:t>3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FB" w:rsidRPr="007261FB" w:rsidRDefault="007261FB" w:rsidP="00F40BB4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613"/>
    <w:multiLevelType w:val="hybridMultilevel"/>
    <w:tmpl w:val="BE265E18"/>
    <w:lvl w:ilvl="0" w:tplc="2960B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6D884" w:tentative="1">
      <w:start w:val="1"/>
      <w:numFmt w:val="lowerLetter"/>
      <w:lvlText w:val="%2."/>
      <w:lvlJc w:val="left"/>
      <w:pPr>
        <w:ind w:left="1440" w:hanging="360"/>
      </w:pPr>
    </w:lvl>
    <w:lvl w:ilvl="2" w:tplc="D2C44AB8" w:tentative="1">
      <w:start w:val="1"/>
      <w:numFmt w:val="lowerRoman"/>
      <w:lvlText w:val="%3."/>
      <w:lvlJc w:val="right"/>
      <w:pPr>
        <w:ind w:left="2160" w:hanging="180"/>
      </w:pPr>
    </w:lvl>
    <w:lvl w:ilvl="3" w:tplc="DF7E9EE8" w:tentative="1">
      <w:start w:val="1"/>
      <w:numFmt w:val="decimal"/>
      <w:lvlText w:val="%4."/>
      <w:lvlJc w:val="left"/>
      <w:pPr>
        <w:ind w:left="2880" w:hanging="360"/>
      </w:pPr>
    </w:lvl>
    <w:lvl w:ilvl="4" w:tplc="BE38E7E4" w:tentative="1">
      <w:start w:val="1"/>
      <w:numFmt w:val="lowerLetter"/>
      <w:lvlText w:val="%5."/>
      <w:lvlJc w:val="left"/>
      <w:pPr>
        <w:ind w:left="3600" w:hanging="360"/>
      </w:pPr>
    </w:lvl>
    <w:lvl w:ilvl="5" w:tplc="B1A4614A" w:tentative="1">
      <w:start w:val="1"/>
      <w:numFmt w:val="lowerRoman"/>
      <w:lvlText w:val="%6."/>
      <w:lvlJc w:val="right"/>
      <w:pPr>
        <w:ind w:left="4320" w:hanging="180"/>
      </w:pPr>
    </w:lvl>
    <w:lvl w:ilvl="6" w:tplc="E62A9836" w:tentative="1">
      <w:start w:val="1"/>
      <w:numFmt w:val="decimal"/>
      <w:lvlText w:val="%7."/>
      <w:lvlJc w:val="left"/>
      <w:pPr>
        <w:ind w:left="5040" w:hanging="360"/>
      </w:pPr>
    </w:lvl>
    <w:lvl w:ilvl="7" w:tplc="B6DA7234" w:tentative="1">
      <w:start w:val="1"/>
      <w:numFmt w:val="lowerLetter"/>
      <w:lvlText w:val="%8."/>
      <w:lvlJc w:val="left"/>
      <w:pPr>
        <w:ind w:left="5760" w:hanging="360"/>
      </w:pPr>
    </w:lvl>
    <w:lvl w:ilvl="8" w:tplc="B7329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E61CD"/>
    <w:multiLevelType w:val="multilevel"/>
    <w:tmpl w:val="AE9042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17FDB"/>
    <w:rsid w:val="000256CA"/>
    <w:rsid w:val="00026358"/>
    <w:rsid w:val="00026646"/>
    <w:rsid w:val="00032602"/>
    <w:rsid w:val="00043295"/>
    <w:rsid w:val="000457AF"/>
    <w:rsid w:val="0004599D"/>
    <w:rsid w:val="00050A7F"/>
    <w:rsid w:val="00051F84"/>
    <w:rsid w:val="00053169"/>
    <w:rsid w:val="00056D94"/>
    <w:rsid w:val="000646D9"/>
    <w:rsid w:val="00071EA6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C348C"/>
    <w:rsid w:val="000D2AB9"/>
    <w:rsid w:val="000D3DF7"/>
    <w:rsid w:val="000D49B5"/>
    <w:rsid w:val="000E1E20"/>
    <w:rsid w:val="000E429F"/>
    <w:rsid w:val="000F377C"/>
    <w:rsid w:val="000F4E7C"/>
    <w:rsid w:val="00104654"/>
    <w:rsid w:val="00110E85"/>
    <w:rsid w:val="00115223"/>
    <w:rsid w:val="00123CBF"/>
    <w:rsid w:val="00126258"/>
    <w:rsid w:val="00127A26"/>
    <w:rsid w:val="00130EA0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84CEF"/>
    <w:rsid w:val="00191A1D"/>
    <w:rsid w:val="00196A44"/>
    <w:rsid w:val="001A31B8"/>
    <w:rsid w:val="001A48C1"/>
    <w:rsid w:val="001B16E2"/>
    <w:rsid w:val="001B5145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352E"/>
    <w:rsid w:val="002057F9"/>
    <w:rsid w:val="00212481"/>
    <w:rsid w:val="00212DB7"/>
    <w:rsid w:val="00225057"/>
    <w:rsid w:val="0022589C"/>
    <w:rsid w:val="00225EB8"/>
    <w:rsid w:val="00233A18"/>
    <w:rsid w:val="002409C9"/>
    <w:rsid w:val="0025235E"/>
    <w:rsid w:val="00253E4B"/>
    <w:rsid w:val="00255074"/>
    <w:rsid w:val="00256676"/>
    <w:rsid w:val="002778B0"/>
    <w:rsid w:val="00286207"/>
    <w:rsid w:val="002930BF"/>
    <w:rsid w:val="00293BD5"/>
    <w:rsid w:val="002A3540"/>
    <w:rsid w:val="002A4619"/>
    <w:rsid w:val="002A661C"/>
    <w:rsid w:val="002B4A0E"/>
    <w:rsid w:val="002B6E80"/>
    <w:rsid w:val="002E23D6"/>
    <w:rsid w:val="002F0CCC"/>
    <w:rsid w:val="00303965"/>
    <w:rsid w:val="00307E7B"/>
    <w:rsid w:val="003144EC"/>
    <w:rsid w:val="003163B8"/>
    <w:rsid w:val="00321DBF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13A6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054B"/>
    <w:rsid w:val="003C1784"/>
    <w:rsid w:val="003C5D0F"/>
    <w:rsid w:val="003C5F22"/>
    <w:rsid w:val="003D1F57"/>
    <w:rsid w:val="003D7430"/>
    <w:rsid w:val="003E29F0"/>
    <w:rsid w:val="003E2EB9"/>
    <w:rsid w:val="003E6052"/>
    <w:rsid w:val="003F169F"/>
    <w:rsid w:val="004022F1"/>
    <w:rsid w:val="00404A24"/>
    <w:rsid w:val="00415AAA"/>
    <w:rsid w:val="00424025"/>
    <w:rsid w:val="0043271F"/>
    <w:rsid w:val="00445732"/>
    <w:rsid w:val="004458A7"/>
    <w:rsid w:val="00445D62"/>
    <w:rsid w:val="00453587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52E7"/>
    <w:rsid w:val="004B7DE5"/>
    <w:rsid w:val="004C2657"/>
    <w:rsid w:val="004C2BA4"/>
    <w:rsid w:val="004C6F24"/>
    <w:rsid w:val="004C7FBA"/>
    <w:rsid w:val="004D6F51"/>
    <w:rsid w:val="004E0D7A"/>
    <w:rsid w:val="004E4165"/>
    <w:rsid w:val="004E77A8"/>
    <w:rsid w:val="004F02A9"/>
    <w:rsid w:val="004F4A94"/>
    <w:rsid w:val="00501CD6"/>
    <w:rsid w:val="005042A0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1D22"/>
    <w:rsid w:val="00544557"/>
    <w:rsid w:val="00546AE2"/>
    <w:rsid w:val="005521B6"/>
    <w:rsid w:val="0055335A"/>
    <w:rsid w:val="00564153"/>
    <w:rsid w:val="0056510C"/>
    <w:rsid w:val="005658FE"/>
    <w:rsid w:val="00576114"/>
    <w:rsid w:val="00580FC9"/>
    <w:rsid w:val="00583B09"/>
    <w:rsid w:val="005862AD"/>
    <w:rsid w:val="00593505"/>
    <w:rsid w:val="005A2340"/>
    <w:rsid w:val="005A3DE9"/>
    <w:rsid w:val="005A3EEC"/>
    <w:rsid w:val="005A475B"/>
    <w:rsid w:val="005A7FDF"/>
    <w:rsid w:val="005B325A"/>
    <w:rsid w:val="005C0AF2"/>
    <w:rsid w:val="005C1721"/>
    <w:rsid w:val="005C41E3"/>
    <w:rsid w:val="005C6E0E"/>
    <w:rsid w:val="005D2A31"/>
    <w:rsid w:val="005D64BA"/>
    <w:rsid w:val="005D7801"/>
    <w:rsid w:val="005E06C4"/>
    <w:rsid w:val="005F6F12"/>
    <w:rsid w:val="005F7A3C"/>
    <w:rsid w:val="00611A31"/>
    <w:rsid w:val="00612D80"/>
    <w:rsid w:val="006151E9"/>
    <w:rsid w:val="006160EE"/>
    <w:rsid w:val="0063099E"/>
    <w:rsid w:val="00631F9E"/>
    <w:rsid w:val="00633C31"/>
    <w:rsid w:val="00636828"/>
    <w:rsid w:val="00637F05"/>
    <w:rsid w:val="0064257D"/>
    <w:rsid w:val="00647792"/>
    <w:rsid w:val="00650BAD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5EA5"/>
    <w:rsid w:val="00686BB9"/>
    <w:rsid w:val="00690E30"/>
    <w:rsid w:val="0069282A"/>
    <w:rsid w:val="00694243"/>
    <w:rsid w:val="006B30C2"/>
    <w:rsid w:val="006C1779"/>
    <w:rsid w:val="006E18C8"/>
    <w:rsid w:val="006E1E5C"/>
    <w:rsid w:val="006E53D9"/>
    <w:rsid w:val="006F49E4"/>
    <w:rsid w:val="006F5C7C"/>
    <w:rsid w:val="006F7FAF"/>
    <w:rsid w:val="00701264"/>
    <w:rsid w:val="0070516B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51683"/>
    <w:rsid w:val="007519B1"/>
    <w:rsid w:val="0075638D"/>
    <w:rsid w:val="00757DC8"/>
    <w:rsid w:val="007607FC"/>
    <w:rsid w:val="00761795"/>
    <w:rsid w:val="00761C34"/>
    <w:rsid w:val="00762185"/>
    <w:rsid w:val="00774038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244C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21385"/>
    <w:rsid w:val="00823B80"/>
    <w:rsid w:val="0082465B"/>
    <w:rsid w:val="008321A4"/>
    <w:rsid w:val="0084694B"/>
    <w:rsid w:val="008471C1"/>
    <w:rsid w:val="00851B24"/>
    <w:rsid w:val="00854C7A"/>
    <w:rsid w:val="008616C4"/>
    <w:rsid w:val="008674A1"/>
    <w:rsid w:val="0087333B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0564E"/>
    <w:rsid w:val="0091364A"/>
    <w:rsid w:val="009202C1"/>
    <w:rsid w:val="00923055"/>
    <w:rsid w:val="00925A9A"/>
    <w:rsid w:val="00926F46"/>
    <w:rsid w:val="00927820"/>
    <w:rsid w:val="00950DCC"/>
    <w:rsid w:val="0095437C"/>
    <w:rsid w:val="00960B85"/>
    <w:rsid w:val="00960E0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82119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CA0"/>
    <w:rsid w:val="009F02C5"/>
    <w:rsid w:val="009F194F"/>
    <w:rsid w:val="00A049D8"/>
    <w:rsid w:val="00A04A07"/>
    <w:rsid w:val="00A06E6A"/>
    <w:rsid w:val="00A11284"/>
    <w:rsid w:val="00A17534"/>
    <w:rsid w:val="00A20BAF"/>
    <w:rsid w:val="00A35B7B"/>
    <w:rsid w:val="00A36317"/>
    <w:rsid w:val="00A44916"/>
    <w:rsid w:val="00A477D6"/>
    <w:rsid w:val="00A47AB2"/>
    <w:rsid w:val="00A64F41"/>
    <w:rsid w:val="00A673E6"/>
    <w:rsid w:val="00A72C84"/>
    <w:rsid w:val="00A74B06"/>
    <w:rsid w:val="00A756E7"/>
    <w:rsid w:val="00A757DC"/>
    <w:rsid w:val="00A838FF"/>
    <w:rsid w:val="00A9636F"/>
    <w:rsid w:val="00A9639A"/>
    <w:rsid w:val="00AA4C3C"/>
    <w:rsid w:val="00AB124F"/>
    <w:rsid w:val="00AB350C"/>
    <w:rsid w:val="00AB7C19"/>
    <w:rsid w:val="00AC0627"/>
    <w:rsid w:val="00AD478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7320B"/>
    <w:rsid w:val="00B7575D"/>
    <w:rsid w:val="00B77AB5"/>
    <w:rsid w:val="00B8001B"/>
    <w:rsid w:val="00B8084E"/>
    <w:rsid w:val="00B8104F"/>
    <w:rsid w:val="00B853A6"/>
    <w:rsid w:val="00B91AA1"/>
    <w:rsid w:val="00B92DD6"/>
    <w:rsid w:val="00B9342E"/>
    <w:rsid w:val="00B93591"/>
    <w:rsid w:val="00BA5A8A"/>
    <w:rsid w:val="00BB120E"/>
    <w:rsid w:val="00BB16EA"/>
    <w:rsid w:val="00BB18EA"/>
    <w:rsid w:val="00BB1CDE"/>
    <w:rsid w:val="00BB2022"/>
    <w:rsid w:val="00BD73D9"/>
    <w:rsid w:val="00BE3EB8"/>
    <w:rsid w:val="00BE5647"/>
    <w:rsid w:val="00C01B12"/>
    <w:rsid w:val="00C03EE4"/>
    <w:rsid w:val="00C05679"/>
    <w:rsid w:val="00C05E8C"/>
    <w:rsid w:val="00C163F0"/>
    <w:rsid w:val="00C36C93"/>
    <w:rsid w:val="00C40E72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53C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35A15"/>
    <w:rsid w:val="00D45F38"/>
    <w:rsid w:val="00D538CC"/>
    <w:rsid w:val="00D54D31"/>
    <w:rsid w:val="00D63A87"/>
    <w:rsid w:val="00D63CBB"/>
    <w:rsid w:val="00D63D8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6E26"/>
    <w:rsid w:val="00DC00FB"/>
    <w:rsid w:val="00DC1BBD"/>
    <w:rsid w:val="00DC3160"/>
    <w:rsid w:val="00DC3F42"/>
    <w:rsid w:val="00DD276E"/>
    <w:rsid w:val="00DD57E5"/>
    <w:rsid w:val="00DE11DF"/>
    <w:rsid w:val="00DE496B"/>
    <w:rsid w:val="00DE4E02"/>
    <w:rsid w:val="00DE5DEA"/>
    <w:rsid w:val="00DE5F9F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412B"/>
    <w:rsid w:val="00E6237B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2882"/>
    <w:rsid w:val="00EA364B"/>
    <w:rsid w:val="00EA4B3C"/>
    <w:rsid w:val="00EA65E2"/>
    <w:rsid w:val="00EA6699"/>
    <w:rsid w:val="00EB061B"/>
    <w:rsid w:val="00EB10EA"/>
    <w:rsid w:val="00EB2F06"/>
    <w:rsid w:val="00EB30CE"/>
    <w:rsid w:val="00EB54C1"/>
    <w:rsid w:val="00EC1FE8"/>
    <w:rsid w:val="00EC7B25"/>
    <w:rsid w:val="00EF48C5"/>
    <w:rsid w:val="00F03BB7"/>
    <w:rsid w:val="00F06569"/>
    <w:rsid w:val="00F12EC6"/>
    <w:rsid w:val="00F14F1B"/>
    <w:rsid w:val="00F159C3"/>
    <w:rsid w:val="00F17D57"/>
    <w:rsid w:val="00F25050"/>
    <w:rsid w:val="00F307A9"/>
    <w:rsid w:val="00F3205F"/>
    <w:rsid w:val="00F36027"/>
    <w:rsid w:val="00F36C0D"/>
    <w:rsid w:val="00F40BB4"/>
    <w:rsid w:val="00F4177F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65E6D"/>
    <w:rsid w:val="00F70880"/>
    <w:rsid w:val="00F76CC5"/>
    <w:rsid w:val="00F76F44"/>
    <w:rsid w:val="00F80026"/>
    <w:rsid w:val="00F82D03"/>
    <w:rsid w:val="00F85938"/>
    <w:rsid w:val="00FB0BA2"/>
    <w:rsid w:val="00FB10D0"/>
    <w:rsid w:val="00FB355D"/>
    <w:rsid w:val="00FB4F1A"/>
    <w:rsid w:val="00FB50D3"/>
    <w:rsid w:val="00FC0E51"/>
    <w:rsid w:val="00FC0EFF"/>
    <w:rsid w:val="00FC1D1C"/>
    <w:rsid w:val="00FC24BD"/>
    <w:rsid w:val="00FC60DC"/>
    <w:rsid w:val="00FD0384"/>
    <w:rsid w:val="00FD465D"/>
    <w:rsid w:val="00FD6B28"/>
    <w:rsid w:val="00FD7FAD"/>
    <w:rsid w:val="00FE697D"/>
    <w:rsid w:val="00FF0F76"/>
    <w:rsid w:val="00FF5998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002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00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02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C041-E8D9-46F3-ABAA-97C16F205F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2649</Words>
  <Characters>1510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Sanita Pumpure</cp:lastModifiedBy>
  <cp:revision>2</cp:revision>
  <cp:lastPrinted>2015-07-10T08:13:00Z</cp:lastPrinted>
  <dcterms:created xsi:type="dcterms:W3CDTF">2025-08-27T08:21:00Z</dcterms:created>
  <dcterms:modified xsi:type="dcterms:W3CDTF">2025-08-27T08:21:00Z</dcterms:modified>
</cp:coreProperties>
</file>