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C050C" w14:textId="460E57E4" w:rsidR="006030B7" w:rsidRPr="00D639B0" w:rsidRDefault="008D302F" w:rsidP="00E83334">
      <w:pPr>
        <w:pStyle w:val="Body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</w:t>
      </w:r>
      <w:r w:rsidR="006030B7" w:rsidRPr="00D639B0">
        <w:rPr>
          <w:rFonts w:ascii="Times New Roman" w:hAnsi="Times New Roman" w:cs="Times New Roman"/>
          <w:color w:val="auto"/>
        </w:rPr>
        <w:t>. pielikums</w:t>
      </w:r>
      <w:r w:rsidR="00E83334">
        <w:rPr>
          <w:rFonts w:ascii="Times New Roman" w:hAnsi="Times New Roman" w:cs="Times New Roman"/>
          <w:color w:val="auto"/>
        </w:rPr>
        <w:t xml:space="preserve"> </w:t>
      </w:r>
      <w:r w:rsidRPr="00D639B0">
        <w:rPr>
          <w:rFonts w:ascii="Times New Roman" w:hAnsi="Times New Roman" w:cs="Times New Roman"/>
          <w:color w:val="auto"/>
        </w:rPr>
        <w:t>N</w:t>
      </w:r>
      <w:r w:rsidR="006030B7" w:rsidRPr="00D639B0">
        <w:rPr>
          <w:rFonts w:ascii="Times New Roman" w:hAnsi="Times New Roman" w:cs="Times New Roman"/>
          <w:color w:val="auto"/>
        </w:rPr>
        <w:t>olikumam</w:t>
      </w:r>
      <w:r>
        <w:rPr>
          <w:rFonts w:ascii="Times New Roman" w:hAnsi="Times New Roman" w:cs="Times New Roman"/>
          <w:color w:val="auto"/>
        </w:rPr>
        <w:t xml:space="preserve"> “</w:t>
      </w:r>
      <w:r w:rsidRPr="008D302F">
        <w:rPr>
          <w:rFonts w:ascii="Times New Roman" w:hAnsi="Times New Roman" w:cs="Times New Roman"/>
          <w:color w:val="auto"/>
        </w:rPr>
        <w:t xml:space="preserve">Par Rīgas Stradiņa universitātes </w:t>
      </w:r>
      <w:r w:rsidR="0026138D">
        <w:rPr>
          <w:rFonts w:ascii="Times New Roman" w:hAnsi="Times New Roman" w:cs="Times New Roman"/>
          <w:color w:val="auto"/>
        </w:rPr>
        <w:t>Latvijas Sporta pedagoģijas akadēmijas “</w:t>
      </w:r>
      <w:proofErr w:type="spellStart"/>
      <w:r w:rsidRPr="008D302F">
        <w:rPr>
          <w:rFonts w:ascii="Times New Roman" w:hAnsi="Times New Roman" w:cs="Times New Roman"/>
          <w:color w:val="auto"/>
        </w:rPr>
        <w:t>exit</w:t>
      </w:r>
      <w:proofErr w:type="spellEnd"/>
      <w:r w:rsidR="0026138D">
        <w:rPr>
          <w:rFonts w:ascii="Times New Roman" w:hAnsi="Times New Roman" w:cs="Times New Roman"/>
          <w:color w:val="auto"/>
        </w:rPr>
        <w:t>”</w:t>
      </w:r>
      <w:r w:rsidRPr="008D302F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D302F">
        <w:rPr>
          <w:rFonts w:ascii="Times New Roman" w:hAnsi="Times New Roman" w:cs="Times New Roman"/>
          <w:color w:val="auto"/>
        </w:rPr>
        <w:t>grantu</w:t>
      </w:r>
      <w:proofErr w:type="spellEnd"/>
      <w:r w:rsidRPr="008D302F">
        <w:rPr>
          <w:rFonts w:ascii="Times New Roman" w:hAnsi="Times New Roman" w:cs="Times New Roman"/>
          <w:color w:val="auto"/>
        </w:rPr>
        <w:t xml:space="preserve"> piešķiršanu</w:t>
      </w:r>
      <w:r>
        <w:rPr>
          <w:rFonts w:ascii="Times New Roman" w:hAnsi="Times New Roman" w:cs="Times New Roman"/>
          <w:color w:val="auto"/>
        </w:rPr>
        <w:t>”</w:t>
      </w:r>
    </w:p>
    <w:p w14:paraId="1A80DA5F" w14:textId="77777777" w:rsidR="005D70B9" w:rsidRDefault="005D70B9" w:rsidP="006030B7">
      <w:pPr>
        <w:pStyle w:val="Body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14:paraId="2ADEDDB1" w14:textId="0B3F0551" w:rsidR="006030B7" w:rsidRPr="00D639B0" w:rsidRDefault="008D302F" w:rsidP="006030B7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>Pretendentu</w:t>
      </w:r>
      <w:r w:rsidR="006030B7" w:rsidRPr="00D639B0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vērtēšanas </w:t>
      </w:r>
      <w:r w:rsidR="00E115CF">
        <w:rPr>
          <w:rFonts w:ascii="Times New Roman" w:hAnsi="Times New Roman" w:cs="Times New Roman"/>
          <w:b/>
          <w:bCs/>
          <w:color w:val="auto"/>
          <w:sz w:val="26"/>
          <w:szCs w:val="26"/>
        </w:rPr>
        <w:t>veidlapa</w:t>
      </w:r>
    </w:p>
    <w:p w14:paraId="42EB9786" w14:textId="77777777" w:rsidR="006030B7" w:rsidRDefault="006030B7" w:rsidP="006030B7">
      <w:pPr>
        <w:rPr>
          <w:lang w:val="lv-LV"/>
        </w:rPr>
      </w:pPr>
    </w:p>
    <w:p w14:paraId="7A2C488A" w14:textId="50CDCF30" w:rsidR="006030B7" w:rsidRDefault="00722E73" w:rsidP="006030B7">
      <w:pPr>
        <w:rPr>
          <w:lang w:val="lv-LV"/>
        </w:rPr>
      </w:pPr>
      <w:r>
        <w:rPr>
          <w:lang w:val="lv-LV"/>
        </w:rPr>
        <w:t>P</w:t>
      </w:r>
      <w:r w:rsidR="008D302F">
        <w:rPr>
          <w:lang w:val="lv-LV"/>
        </w:rPr>
        <w:t>retendenta</w:t>
      </w:r>
      <w:r w:rsidR="006030B7" w:rsidRPr="00D639B0">
        <w:rPr>
          <w:lang w:val="lv-LV"/>
        </w:rPr>
        <w:t xml:space="preserve"> vārds, uzvārds_____________________________________  </w:t>
      </w:r>
    </w:p>
    <w:p w14:paraId="3E9C512F" w14:textId="77777777" w:rsidR="00206C5C" w:rsidRDefault="00466151" w:rsidP="006030B7">
      <w:pPr>
        <w:rPr>
          <w:lang w:val="lv-LV"/>
        </w:rPr>
      </w:pPr>
      <w:r>
        <w:rPr>
          <w:lang w:val="lv-LV"/>
        </w:rPr>
        <w:t>Kopējais d</w:t>
      </w:r>
      <w:r w:rsidR="00844738">
        <w:rPr>
          <w:lang w:val="lv-LV"/>
        </w:rPr>
        <w:t xml:space="preserve">arba stāžs RSU LSPA (iepriekš- LSPA, </w:t>
      </w:r>
      <w:r w:rsidR="0051572D" w:rsidRPr="0051572D">
        <w:rPr>
          <w:lang w:val="lv-LV"/>
        </w:rPr>
        <w:t>Latvijas Valsts fiziskās kultūras institūtā</w:t>
      </w:r>
      <w:r w:rsidR="0051572D">
        <w:rPr>
          <w:lang w:val="lv-LV"/>
        </w:rPr>
        <w:t>) ____________________________</w:t>
      </w:r>
      <w:r w:rsidR="009079CA">
        <w:rPr>
          <w:lang w:val="lv-LV"/>
        </w:rPr>
        <w:t xml:space="preserve">, </w:t>
      </w:r>
    </w:p>
    <w:p w14:paraId="0DD10893" w14:textId="2E20E274" w:rsidR="00844738" w:rsidRPr="00D639B0" w:rsidRDefault="009079CA" w:rsidP="006030B7">
      <w:pPr>
        <w:rPr>
          <w:rFonts w:eastAsia="Calibri"/>
          <w:sz w:val="22"/>
          <w:szCs w:val="22"/>
          <w:u w:color="000000"/>
          <w:lang w:val="lv-LV" w:eastAsia="lv-LV"/>
        </w:rPr>
      </w:pPr>
      <w:r>
        <w:rPr>
          <w:lang w:val="lv-LV"/>
        </w:rPr>
        <w:t>tai skaitā akadēmiskajā amatā ______________ (aizpilda Personāla departaments)</w:t>
      </w:r>
    </w:p>
    <w:p w14:paraId="0FE7DCEF" w14:textId="77777777" w:rsidR="006030B7" w:rsidRDefault="006030B7" w:rsidP="006030B7">
      <w:pPr>
        <w:rPr>
          <w:rFonts w:eastAsia="Calibri"/>
          <w:sz w:val="22"/>
          <w:szCs w:val="22"/>
          <w:u w:color="000000"/>
          <w:lang w:val="lv-LV" w:eastAsia="lv-LV"/>
        </w:rPr>
      </w:pPr>
    </w:p>
    <w:p w14:paraId="4AD7550A" w14:textId="77777777" w:rsidR="00873644" w:rsidRPr="00D639B0" w:rsidRDefault="00873644" w:rsidP="006030B7">
      <w:pPr>
        <w:rPr>
          <w:rFonts w:eastAsia="Calibri"/>
          <w:sz w:val="22"/>
          <w:szCs w:val="22"/>
          <w:u w:color="000000"/>
          <w:lang w:val="lv-LV" w:eastAsia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1418"/>
        <w:gridCol w:w="1559"/>
        <w:gridCol w:w="1134"/>
        <w:gridCol w:w="4067"/>
      </w:tblGrid>
      <w:tr w:rsidR="00FC57A9" w:rsidRPr="00D639B0" w14:paraId="342D3DA9" w14:textId="77777777" w:rsidTr="00A74311">
        <w:tc>
          <w:tcPr>
            <w:tcW w:w="5665" w:type="dxa"/>
          </w:tcPr>
          <w:p w14:paraId="4D13679C" w14:textId="77777777" w:rsidR="00FC57A9" w:rsidRPr="00D639B0" w:rsidRDefault="00FC57A9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 w:rsidRPr="00D639B0">
              <w:rPr>
                <w:rFonts w:eastAsia="Calibri"/>
                <w:sz w:val="22"/>
                <w:szCs w:val="22"/>
                <w:u w:color="000000"/>
                <w:lang w:val="lv-LV"/>
              </w:rPr>
              <w:t>Kritērijs</w:t>
            </w:r>
          </w:p>
        </w:tc>
        <w:tc>
          <w:tcPr>
            <w:tcW w:w="1418" w:type="dxa"/>
          </w:tcPr>
          <w:p w14:paraId="5CD7E54D" w14:textId="48959026" w:rsidR="00FC57A9" w:rsidRPr="00805306" w:rsidRDefault="00FC57A9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>Datu avots</w:t>
            </w:r>
          </w:p>
        </w:tc>
        <w:tc>
          <w:tcPr>
            <w:tcW w:w="1559" w:type="dxa"/>
          </w:tcPr>
          <w:p w14:paraId="7C7A9AA5" w14:textId="41FAF5E8" w:rsidR="00FC57A9" w:rsidRPr="00805306" w:rsidRDefault="00FC57A9" w:rsidP="00C16F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 w:rsidRPr="00805306">
              <w:rPr>
                <w:rFonts w:eastAsia="Calibri"/>
                <w:sz w:val="22"/>
                <w:szCs w:val="22"/>
                <w:u w:color="000000"/>
                <w:lang w:val="lv-LV"/>
              </w:rPr>
              <w:t>Vienība</w:t>
            </w: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s </w:t>
            </w:r>
          </w:p>
        </w:tc>
        <w:tc>
          <w:tcPr>
            <w:tcW w:w="1134" w:type="dxa"/>
          </w:tcPr>
          <w:p w14:paraId="0DCA2DA8" w14:textId="33F4C555" w:rsidR="00FC57A9" w:rsidRPr="00D639B0" w:rsidRDefault="00FC57A9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>Punkti</w:t>
            </w:r>
          </w:p>
        </w:tc>
        <w:tc>
          <w:tcPr>
            <w:tcW w:w="4067" w:type="dxa"/>
          </w:tcPr>
          <w:p w14:paraId="068B9705" w14:textId="33BE3111" w:rsidR="00FC57A9" w:rsidRPr="00D639B0" w:rsidRDefault="00FC57A9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>Piezīmes</w:t>
            </w:r>
            <w:r w:rsidR="00157028">
              <w:rPr>
                <w:rFonts w:eastAsia="Calibri"/>
                <w:sz w:val="22"/>
                <w:szCs w:val="22"/>
                <w:u w:color="000000"/>
                <w:lang w:val="lv-LV"/>
              </w:rPr>
              <w:t>. Vērtēšana.</w:t>
            </w:r>
          </w:p>
        </w:tc>
      </w:tr>
      <w:tr w:rsidR="00FC57A9" w:rsidRPr="00EA7427" w14:paraId="2B36A304" w14:textId="77777777" w:rsidTr="00A74311">
        <w:tc>
          <w:tcPr>
            <w:tcW w:w="5665" w:type="dxa"/>
          </w:tcPr>
          <w:p w14:paraId="46A341A1" w14:textId="408604F1" w:rsidR="00FC57A9" w:rsidRPr="008D6339" w:rsidRDefault="00FC57A9" w:rsidP="00646EC2">
            <w:pPr>
              <w:jc w:val="both"/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 w:rsidRPr="003B0D37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Publikāciju skaits, </w:t>
            </w: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kas ir </w:t>
            </w:r>
            <w:r w:rsidRPr="003B0D37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indeksētas </w:t>
            </w: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starptautisko pētniecības publikāciju datu bāzēs </w:t>
            </w:r>
            <w:proofErr w:type="spellStart"/>
            <w:r w:rsidRPr="003B0D37">
              <w:rPr>
                <w:rFonts w:eastAsia="Calibri"/>
                <w:sz w:val="22"/>
                <w:szCs w:val="22"/>
                <w:u w:color="000000"/>
                <w:lang w:val="lv-LV"/>
              </w:rPr>
              <w:t>W</w:t>
            </w: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>eb</w:t>
            </w:r>
            <w:proofErr w:type="spellEnd"/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 </w:t>
            </w:r>
            <w:proofErr w:type="spellStart"/>
            <w:r w:rsidRPr="003B0D37">
              <w:rPr>
                <w:rFonts w:eastAsia="Calibri"/>
                <w:sz w:val="22"/>
                <w:szCs w:val="22"/>
                <w:u w:color="000000"/>
                <w:lang w:val="lv-LV"/>
              </w:rPr>
              <w:t>o</w:t>
            </w: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>f</w:t>
            </w:r>
            <w:proofErr w:type="spellEnd"/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 </w:t>
            </w:r>
            <w:proofErr w:type="spellStart"/>
            <w:r w:rsidRPr="003B0D37">
              <w:rPr>
                <w:rFonts w:eastAsia="Calibri"/>
                <w:sz w:val="22"/>
                <w:szCs w:val="22"/>
                <w:u w:color="000000"/>
                <w:lang w:val="lv-LV"/>
              </w:rPr>
              <w:t>S</w:t>
            </w: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>ciense</w:t>
            </w:r>
            <w:proofErr w:type="spellEnd"/>
            <w:r w:rsidRPr="003B0D37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, </w:t>
            </w:r>
            <w:proofErr w:type="spellStart"/>
            <w:r w:rsidRPr="003B0D37">
              <w:rPr>
                <w:rFonts w:eastAsia="Calibri"/>
                <w:sz w:val="22"/>
                <w:szCs w:val="22"/>
                <w:u w:color="000000"/>
                <w:lang w:val="lv-LV"/>
              </w:rPr>
              <w:t>Scopus</w:t>
            </w:r>
            <w:proofErr w:type="spellEnd"/>
            <w:r w:rsidRPr="003B0D37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 pēdējo 10 gadu laikā</w:t>
            </w: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 (2015.- 2024.g)</w:t>
            </w:r>
            <w:r w:rsidRPr="003B0D37">
              <w:rPr>
                <w:rFonts w:eastAsia="Calibri"/>
                <w:sz w:val="22"/>
                <w:szCs w:val="22"/>
                <w:u w:color="000000"/>
                <w:lang w:val="lv-LV"/>
              </w:rPr>
              <w:t>, ar norādi uz autora piederību LSPA</w:t>
            </w: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 </w:t>
            </w:r>
          </w:p>
        </w:tc>
        <w:tc>
          <w:tcPr>
            <w:tcW w:w="1418" w:type="dxa"/>
          </w:tcPr>
          <w:p w14:paraId="36E05AA4" w14:textId="4CD62C4D" w:rsidR="00FC57A9" w:rsidRPr="008D6339" w:rsidRDefault="00FC57A9" w:rsidP="005314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>CV, datu bāzes</w:t>
            </w:r>
          </w:p>
        </w:tc>
        <w:tc>
          <w:tcPr>
            <w:tcW w:w="1559" w:type="dxa"/>
          </w:tcPr>
          <w:p w14:paraId="58CFE0FE" w14:textId="5242B59C" w:rsidR="00FC57A9" w:rsidRDefault="00A74311" w:rsidP="00A743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>p</w:t>
            </w:r>
            <w:r w:rsidR="00FC57A9">
              <w:rPr>
                <w:rFonts w:eastAsia="Calibri"/>
                <w:sz w:val="22"/>
                <w:szCs w:val="22"/>
                <w:u w:color="000000"/>
                <w:lang w:val="lv-LV"/>
              </w:rPr>
              <w:t>ublikāciju skaits</w:t>
            </w:r>
          </w:p>
          <w:p w14:paraId="0019910A" w14:textId="7B278757" w:rsidR="00FC57A9" w:rsidRPr="008D6339" w:rsidRDefault="00FC57A9" w:rsidP="00FC57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  <w:tc>
          <w:tcPr>
            <w:tcW w:w="1134" w:type="dxa"/>
          </w:tcPr>
          <w:p w14:paraId="40A60712" w14:textId="77777777" w:rsidR="00FC57A9" w:rsidRPr="008D6339" w:rsidRDefault="00FC57A9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  <w:tc>
          <w:tcPr>
            <w:tcW w:w="4067" w:type="dxa"/>
          </w:tcPr>
          <w:p w14:paraId="49CB5D2C" w14:textId="272D15D0" w:rsidR="00FC57A9" w:rsidRDefault="00FC57A9" w:rsidP="00FC57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>1 publikācija</w:t>
            </w:r>
            <w:r w:rsidR="00983303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 -</w:t>
            </w: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 1 punkts</w:t>
            </w:r>
          </w:p>
          <w:p w14:paraId="19C24F82" w14:textId="34D63C19" w:rsidR="00FC57A9" w:rsidRDefault="00FC57A9" w:rsidP="00FC57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>2-3 publikācijas</w:t>
            </w:r>
            <w:r w:rsidR="00983303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 -</w:t>
            </w: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 2 punkti</w:t>
            </w:r>
          </w:p>
          <w:p w14:paraId="5B19AD5D" w14:textId="4DAAED0C" w:rsidR="00FC57A9" w:rsidRDefault="00D91A6F" w:rsidP="00FC57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>4 un vairāk</w:t>
            </w:r>
            <w:r w:rsidR="00FC57A9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 publik</w:t>
            </w:r>
            <w:r w:rsidR="00157028">
              <w:rPr>
                <w:rFonts w:eastAsia="Calibri"/>
                <w:sz w:val="22"/>
                <w:szCs w:val="22"/>
                <w:u w:color="000000"/>
                <w:lang w:val="lv-LV"/>
              </w:rPr>
              <w:t>ā</w:t>
            </w:r>
            <w:r w:rsidR="00FC57A9">
              <w:rPr>
                <w:rFonts w:eastAsia="Calibri"/>
                <w:sz w:val="22"/>
                <w:szCs w:val="22"/>
                <w:u w:color="000000"/>
                <w:lang w:val="lv-LV"/>
              </w:rPr>
              <w:t>cijas</w:t>
            </w:r>
            <w:r w:rsidR="00983303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 -</w:t>
            </w:r>
            <w:r w:rsidR="00FC57A9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 3 punkti</w:t>
            </w:r>
          </w:p>
          <w:p w14:paraId="6FDDCE0C" w14:textId="20463683" w:rsidR="00FC57A9" w:rsidRPr="008D6339" w:rsidRDefault="00FC57A9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</w:tr>
      <w:tr w:rsidR="00FC57A9" w:rsidRPr="00EA7427" w14:paraId="6BD9FD1D" w14:textId="77777777" w:rsidTr="00A74311">
        <w:tc>
          <w:tcPr>
            <w:tcW w:w="5665" w:type="dxa"/>
          </w:tcPr>
          <w:p w14:paraId="75DDB579" w14:textId="24D451D3" w:rsidR="00FC57A9" w:rsidRPr="008D6339" w:rsidRDefault="00FC57A9" w:rsidP="00646EC2">
            <w:pPr>
              <w:jc w:val="both"/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 w:rsidRPr="008D6339">
              <w:rPr>
                <w:rFonts w:eastAsia="Calibri"/>
                <w:sz w:val="22"/>
                <w:szCs w:val="22"/>
                <w:u w:color="000000"/>
                <w:lang w:val="lv-LV"/>
              </w:rPr>
              <w:t>Hirša indekss</w:t>
            </w: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>Scopus</w:t>
            </w:r>
            <w:proofErr w:type="spellEnd"/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 </w:t>
            </w:r>
          </w:p>
        </w:tc>
        <w:tc>
          <w:tcPr>
            <w:tcW w:w="1418" w:type="dxa"/>
          </w:tcPr>
          <w:p w14:paraId="5587E0D6" w14:textId="3E12AE38" w:rsidR="00FC57A9" w:rsidRPr="008D6339" w:rsidRDefault="00FC57A9" w:rsidP="005314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proofErr w:type="spellStart"/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>Scopus</w:t>
            </w:r>
            <w:proofErr w:type="spellEnd"/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 datu bāze</w:t>
            </w:r>
          </w:p>
        </w:tc>
        <w:tc>
          <w:tcPr>
            <w:tcW w:w="1559" w:type="dxa"/>
          </w:tcPr>
          <w:p w14:paraId="58C95193" w14:textId="27C02C8D" w:rsidR="00FC57A9" w:rsidRPr="008D6339" w:rsidRDefault="00FC57A9" w:rsidP="005314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 w:rsidRPr="008D6339">
              <w:rPr>
                <w:rFonts w:eastAsia="Calibri"/>
                <w:sz w:val="22"/>
                <w:szCs w:val="22"/>
                <w:u w:color="000000"/>
                <w:lang w:val="lv-LV"/>
              </w:rPr>
              <w:t>indekss</w:t>
            </w:r>
          </w:p>
        </w:tc>
        <w:tc>
          <w:tcPr>
            <w:tcW w:w="1134" w:type="dxa"/>
          </w:tcPr>
          <w:p w14:paraId="4EB36307" w14:textId="77777777" w:rsidR="00FC57A9" w:rsidRPr="008D6339" w:rsidRDefault="00FC57A9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  <w:tc>
          <w:tcPr>
            <w:tcW w:w="4067" w:type="dxa"/>
          </w:tcPr>
          <w:p w14:paraId="039BAE53" w14:textId="067B677E" w:rsidR="00EA7427" w:rsidRDefault="00EA7427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>Nav h- indeksa - 0 punktu</w:t>
            </w:r>
          </w:p>
          <w:p w14:paraId="5952A50D" w14:textId="61653B2A" w:rsidR="00FC57A9" w:rsidRDefault="00157028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Ar </w:t>
            </w:r>
            <w:r w:rsidR="00D91A6F">
              <w:rPr>
                <w:rFonts w:eastAsia="Calibri"/>
                <w:sz w:val="22"/>
                <w:szCs w:val="22"/>
                <w:u w:color="000000"/>
                <w:lang w:val="lv-LV"/>
              </w:rPr>
              <w:t>h-indeks</w:t>
            </w: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>u</w:t>
            </w:r>
            <w:r w:rsidR="00D91A6F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 1 iegūst 1 punktu</w:t>
            </w:r>
          </w:p>
          <w:p w14:paraId="2D8D21FA" w14:textId="56065DB9" w:rsidR="00D91A6F" w:rsidRDefault="00157028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Ar </w:t>
            </w:r>
            <w:r w:rsidR="00D91A6F">
              <w:rPr>
                <w:rFonts w:eastAsia="Calibri"/>
                <w:sz w:val="22"/>
                <w:szCs w:val="22"/>
                <w:u w:color="000000"/>
                <w:lang w:val="lv-LV"/>
              </w:rPr>
              <w:t>h-indeks</w:t>
            </w: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>u</w:t>
            </w:r>
            <w:r w:rsidR="00D91A6F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 2 vai 3 iegūst 2 punktus</w:t>
            </w:r>
          </w:p>
          <w:p w14:paraId="1826AEC1" w14:textId="75B3F549" w:rsidR="00D91A6F" w:rsidRDefault="00157028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Ar </w:t>
            </w:r>
            <w:r w:rsidR="00D91A6F">
              <w:rPr>
                <w:rFonts w:eastAsia="Calibri"/>
                <w:sz w:val="22"/>
                <w:szCs w:val="22"/>
                <w:u w:color="000000"/>
                <w:lang w:val="lv-LV"/>
              </w:rPr>
              <w:t>h-indeks</w:t>
            </w: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>u</w:t>
            </w:r>
            <w:r w:rsidR="00D91A6F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 </w:t>
            </w:r>
            <w:r w:rsidR="00D21CD8">
              <w:rPr>
                <w:rFonts w:eastAsia="Calibri"/>
                <w:sz w:val="22"/>
                <w:szCs w:val="22"/>
                <w:u w:color="000000"/>
                <w:lang w:val="lv-LV"/>
              </w:rPr>
              <w:t>4</w:t>
            </w:r>
            <w:r w:rsidR="00D91A6F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 un vairāk iegūst 3 punktus </w:t>
            </w:r>
          </w:p>
          <w:p w14:paraId="3E4B5A75" w14:textId="20291FD1" w:rsidR="00A74311" w:rsidRPr="008D6339" w:rsidRDefault="00A74311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</w:tr>
      <w:tr w:rsidR="00FC57A9" w:rsidRPr="00EA7427" w14:paraId="00A95796" w14:textId="77777777" w:rsidTr="00A74311">
        <w:tc>
          <w:tcPr>
            <w:tcW w:w="5665" w:type="dxa"/>
          </w:tcPr>
          <w:p w14:paraId="6A188CEB" w14:textId="32C73F28" w:rsidR="00FC57A9" w:rsidRPr="008D6339" w:rsidRDefault="0096167D" w:rsidP="00646EC2">
            <w:pPr>
              <w:jc w:val="both"/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>LSPA v</w:t>
            </w:r>
            <w:r w:rsidR="00FC57A9" w:rsidRPr="008D6339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adīto promocijas darbu skaits, kas tika aizstāvēti, pēdējo 10 gadu laikā </w:t>
            </w:r>
            <w:r w:rsidR="00983303">
              <w:rPr>
                <w:rFonts w:eastAsia="Calibri"/>
                <w:sz w:val="22"/>
                <w:szCs w:val="22"/>
                <w:u w:color="000000"/>
                <w:lang w:val="lv-LV"/>
              </w:rPr>
              <w:t>(2015.- 2024.g)</w:t>
            </w:r>
          </w:p>
        </w:tc>
        <w:tc>
          <w:tcPr>
            <w:tcW w:w="1418" w:type="dxa"/>
          </w:tcPr>
          <w:p w14:paraId="61AA9E01" w14:textId="3D505350" w:rsidR="00FC57A9" w:rsidRPr="008D6339" w:rsidRDefault="00FC57A9" w:rsidP="005314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>CV</w:t>
            </w:r>
          </w:p>
        </w:tc>
        <w:tc>
          <w:tcPr>
            <w:tcW w:w="1559" w:type="dxa"/>
          </w:tcPr>
          <w:p w14:paraId="4AE3039D" w14:textId="1647562F" w:rsidR="00FC57A9" w:rsidRPr="008D6339" w:rsidRDefault="00FC57A9" w:rsidP="005314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 w:rsidRPr="008D6339">
              <w:rPr>
                <w:rFonts w:eastAsia="Calibri"/>
                <w:sz w:val="22"/>
                <w:szCs w:val="22"/>
                <w:u w:color="000000"/>
                <w:lang w:val="lv-LV"/>
              </w:rPr>
              <w:t>skaits</w:t>
            </w:r>
          </w:p>
        </w:tc>
        <w:tc>
          <w:tcPr>
            <w:tcW w:w="1134" w:type="dxa"/>
          </w:tcPr>
          <w:p w14:paraId="18FC361A" w14:textId="77777777" w:rsidR="00FC57A9" w:rsidRPr="008D6339" w:rsidRDefault="00FC57A9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  <w:tc>
          <w:tcPr>
            <w:tcW w:w="4067" w:type="dxa"/>
          </w:tcPr>
          <w:p w14:paraId="015429A1" w14:textId="77777777" w:rsidR="00FC57A9" w:rsidRDefault="0096167D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>V</w:t>
            </w:r>
            <w:r w:rsidR="00D91A6F">
              <w:rPr>
                <w:rFonts w:eastAsia="Calibri"/>
                <w:sz w:val="22"/>
                <w:szCs w:val="22"/>
                <w:u w:color="000000"/>
                <w:lang w:val="lv-LV"/>
              </w:rPr>
              <w:t>adīto</w:t>
            </w:r>
            <w:r w:rsidR="00157028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 (tikai aizstāvēto)</w:t>
            </w:r>
            <w:r w:rsidR="00D91A6F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 promociju</w:t>
            </w:r>
            <w:r w:rsidR="00983303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 darbu</w:t>
            </w:r>
            <w:r w:rsidR="00D91A6F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 skaits </w:t>
            </w:r>
            <w:r w:rsidR="00983303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- </w:t>
            </w:r>
            <w:r w:rsidR="00D91A6F">
              <w:rPr>
                <w:rFonts w:eastAsia="Calibri"/>
                <w:sz w:val="22"/>
                <w:szCs w:val="22"/>
                <w:u w:color="000000"/>
                <w:lang w:val="lv-LV"/>
              </w:rPr>
              <w:t>vienāds ar punktu skaitu</w:t>
            </w:r>
          </w:p>
          <w:p w14:paraId="020E7BA0" w14:textId="1E8AB2EC" w:rsidR="00A74311" w:rsidRPr="008D6339" w:rsidRDefault="00A74311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</w:tr>
      <w:tr w:rsidR="00FC57A9" w:rsidRPr="00EA7427" w14:paraId="18D6C055" w14:textId="77777777" w:rsidTr="00A74311">
        <w:trPr>
          <w:trHeight w:val="350"/>
        </w:trPr>
        <w:tc>
          <w:tcPr>
            <w:tcW w:w="5665" w:type="dxa"/>
            <w:shd w:val="clear" w:color="auto" w:fill="auto"/>
          </w:tcPr>
          <w:p w14:paraId="271620DD" w14:textId="38DB403B" w:rsidR="00FC57A9" w:rsidRDefault="00FC57A9" w:rsidP="00646EC2">
            <w:pPr>
              <w:jc w:val="both"/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 w:rsidRPr="00982D42">
              <w:rPr>
                <w:rFonts w:eastAsia="Calibri"/>
                <w:sz w:val="22"/>
                <w:szCs w:val="22"/>
                <w:u w:color="000000"/>
                <w:lang w:val="lv-LV"/>
              </w:rPr>
              <w:t>Dalība LSPA īstenotos pētniecības un attīstības projektos* (valsts pētījumu programmas, fundamentāl</w:t>
            </w: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>o</w:t>
            </w:r>
            <w:r w:rsidRPr="00982D42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 un lietišķ</w:t>
            </w: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>o pētījumu</w:t>
            </w:r>
            <w:r w:rsidRPr="00982D42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 projekti, </w:t>
            </w:r>
            <w:proofErr w:type="spellStart"/>
            <w:r w:rsidRPr="00982D42">
              <w:rPr>
                <w:rFonts w:eastAsia="Calibri"/>
                <w:sz w:val="22"/>
                <w:szCs w:val="22"/>
                <w:u w:color="000000"/>
                <w:lang w:val="lv-LV"/>
              </w:rPr>
              <w:t>līgumpētījumi</w:t>
            </w:r>
            <w:proofErr w:type="spellEnd"/>
            <w:r w:rsidRPr="00982D42">
              <w:rPr>
                <w:rFonts w:eastAsia="Calibri"/>
                <w:sz w:val="22"/>
                <w:szCs w:val="22"/>
                <w:u w:color="000000"/>
                <w:lang w:val="lv-LV"/>
              </w:rPr>
              <w:t>, Norvēģijas</w:t>
            </w: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 un Eiropas Ekonomikas zonas valstu</w:t>
            </w:r>
            <w:r w:rsidRPr="00982D42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 </w:t>
            </w:r>
            <w:proofErr w:type="spellStart"/>
            <w:r w:rsidRPr="00982D42">
              <w:rPr>
                <w:rFonts w:eastAsia="Calibri"/>
                <w:sz w:val="22"/>
                <w:szCs w:val="22"/>
                <w:u w:color="000000"/>
                <w:lang w:val="lv-LV"/>
              </w:rPr>
              <w:t>grantu</w:t>
            </w:r>
            <w:proofErr w:type="spellEnd"/>
            <w:r w:rsidRPr="00982D42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 projekti u.c. ) pēdējo 10 gadu laikā</w:t>
            </w: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 (2015.- 2024.g)</w:t>
            </w:r>
          </w:p>
          <w:p w14:paraId="7B91BA48" w14:textId="3D0111C6" w:rsidR="00FC57A9" w:rsidRPr="00982D42" w:rsidRDefault="00FC57A9" w:rsidP="00646EC2">
            <w:pPr>
              <w:jc w:val="both"/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  <w:tc>
          <w:tcPr>
            <w:tcW w:w="1418" w:type="dxa"/>
            <w:shd w:val="clear" w:color="auto" w:fill="auto"/>
          </w:tcPr>
          <w:p w14:paraId="6421CDCB" w14:textId="004324C0" w:rsidR="00FC57A9" w:rsidRPr="00982D42" w:rsidRDefault="00FC57A9" w:rsidP="005314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>CV</w:t>
            </w:r>
          </w:p>
        </w:tc>
        <w:tc>
          <w:tcPr>
            <w:tcW w:w="1559" w:type="dxa"/>
            <w:shd w:val="clear" w:color="auto" w:fill="auto"/>
          </w:tcPr>
          <w:p w14:paraId="20A4541D" w14:textId="6774ADF3" w:rsidR="00FC57A9" w:rsidRPr="00982D42" w:rsidRDefault="00FC57A9" w:rsidP="005314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>p</w:t>
            </w:r>
            <w:r w:rsidRPr="00982D42">
              <w:rPr>
                <w:rFonts w:eastAsia="Calibri"/>
                <w:sz w:val="22"/>
                <w:szCs w:val="22"/>
                <w:u w:color="000000"/>
                <w:lang w:val="lv-LV"/>
              </w:rPr>
              <w:t>rojektu skaits</w:t>
            </w:r>
          </w:p>
        </w:tc>
        <w:tc>
          <w:tcPr>
            <w:tcW w:w="1134" w:type="dxa"/>
          </w:tcPr>
          <w:p w14:paraId="03FEFE26" w14:textId="77777777" w:rsidR="00FC57A9" w:rsidRPr="00982D42" w:rsidRDefault="00FC57A9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  <w:tc>
          <w:tcPr>
            <w:tcW w:w="4067" w:type="dxa"/>
            <w:shd w:val="clear" w:color="auto" w:fill="auto"/>
          </w:tcPr>
          <w:p w14:paraId="5403119A" w14:textId="341F9265" w:rsidR="00D91A6F" w:rsidRPr="00D91A6F" w:rsidRDefault="00D91A6F" w:rsidP="00D91A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>1</w:t>
            </w:r>
            <w:r w:rsidRPr="00D91A6F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 p</w:t>
            </w: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>rojekts</w:t>
            </w:r>
            <w:r w:rsidR="00983303">
              <w:rPr>
                <w:rFonts w:eastAsia="Calibri"/>
                <w:sz w:val="22"/>
                <w:szCs w:val="22"/>
                <w:u w:color="000000"/>
                <w:lang w:val="lv-LV"/>
              </w:rPr>
              <w:t>-</w:t>
            </w:r>
            <w:r w:rsidRPr="00D91A6F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 1 punkts</w:t>
            </w:r>
            <w:r w:rsidR="00983303">
              <w:rPr>
                <w:rFonts w:eastAsia="Calibri"/>
                <w:sz w:val="22"/>
                <w:szCs w:val="22"/>
                <w:u w:color="000000"/>
                <w:lang w:val="lv-LV"/>
              </w:rPr>
              <w:t>,</w:t>
            </w:r>
          </w:p>
          <w:p w14:paraId="14C7176A" w14:textId="4302BB34" w:rsidR="00D91A6F" w:rsidRPr="00D91A6F" w:rsidRDefault="00D91A6F" w:rsidP="00D91A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 w:rsidRPr="00D91A6F">
              <w:rPr>
                <w:rFonts w:eastAsia="Calibri"/>
                <w:sz w:val="22"/>
                <w:szCs w:val="22"/>
                <w:u w:color="000000"/>
                <w:lang w:val="lv-LV"/>
              </w:rPr>
              <w:t>2-3 p</w:t>
            </w: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>rojekti</w:t>
            </w:r>
            <w:r w:rsidRPr="00D91A6F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 </w:t>
            </w:r>
            <w:r w:rsidR="00983303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- </w:t>
            </w:r>
            <w:r w:rsidRPr="00D91A6F">
              <w:rPr>
                <w:rFonts w:eastAsia="Calibri"/>
                <w:sz w:val="22"/>
                <w:szCs w:val="22"/>
                <w:u w:color="000000"/>
                <w:lang w:val="lv-LV"/>
              </w:rPr>
              <w:t>2 punkti</w:t>
            </w:r>
          </w:p>
          <w:p w14:paraId="34DA0883" w14:textId="2668534D" w:rsidR="00D91A6F" w:rsidRPr="00D91A6F" w:rsidRDefault="00D91A6F" w:rsidP="00D91A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>4</w:t>
            </w:r>
            <w:r w:rsidRPr="00D91A6F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 un vairāk p</w:t>
            </w: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>rojekti</w:t>
            </w:r>
            <w:r w:rsidR="00983303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 -</w:t>
            </w:r>
            <w:r w:rsidRPr="00D91A6F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 3 punkti</w:t>
            </w:r>
          </w:p>
          <w:p w14:paraId="5B3B9BD9" w14:textId="1EB43FC4" w:rsidR="00FC57A9" w:rsidRPr="00982D42" w:rsidRDefault="00FC57A9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</w:tr>
      <w:tr w:rsidR="00FC57A9" w:rsidRPr="00EA7427" w14:paraId="175F5F33" w14:textId="77777777" w:rsidTr="00A74311">
        <w:tc>
          <w:tcPr>
            <w:tcW w:w="5665" w:type="dxa"/>
          </w:tcPr>
          <w:p w14:paraId="43F3540E" w14:textId="0512F345" w:rsidR="00FC57A9" w:rsidRPr="00A92BF1" w:rsidRDefault="00FC57A9" w:rsidP="00411359">
            <w:pPr>
              <w:jc w:val="both"/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 w:rsidRPr="00A92BF1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Ja pretendents piesakās Nolikuma 2.1. punktā paredzētajam </w:t>
            </w:r>
            <w:proofErr w:type="spellStart"/>
            <w:r w:rsidRPr="00A92BF1">
              <w:rPr>
                <w:rFonts w:eastAsia="Calibri"/>
                <w:sz w:val="22"/>
                <w:szCs w:val="22"/>
                <w:u w:color="000000"/>
                <w:lang w:val="lv-LV"/>
              </w:rPr>
              <w:t>granta</w:t>
            </w:r>
            <w:proofErr w:type="spellEnd"/>
            <w:r w:rsidRPr="00A92BF1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 veidam:</w:t>
            </w:r>
          </w:p>
          <w:p w14:paraId="34D5E39A" w14:textId="4F77669C" w:rsidR="00FC57A9" w:rsidRPr="00A92BF1" w:rsidRDefault="00FC57A9" w:rsidP="004B69BD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 w:rsidRPr="00A92BF1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pamatojums, kādēļ pretendents atbilst Nolikuma 2.1. punkta prasībām, proti, kādēļ pretendenta skatījumā tā vadīto pētniecības virzienu nav paredzēts/ nav </w:t>
            </w:r>
            <w:r w:rsidRPr="00A92BF1">
              <w:rPr>
                <w:rFonts w:eastAsia="Calibri"/>
                <w:sz w:val="22"/>
                <w:szCs w:val="22"/>
                <w:u w:color="000000"/>
                <w:lang w:val="lv-LV"/>
              </w:rPr>
              <w:lastRenderedPageBreak/>
              <w:t xml:space="preserve">iespējams turpināt un attīstīt saskaņā ar RSU </w:t>
            </w:r>
            <w:r w:rsidR="002A5110" w:rsidRPr="00A92BF1">
              <w:rPr>
                <w:rFonts w:eastAsia="Calibri"/>
                <w:sz w:val="22"/>
                <w:szCs w:val="22"/>
                <w:u w:color="000000"/>
                <w:lang w:val="lv-LV"/>
              </w:rPr>
              <w:t>A</w:t>
            </w:r>
            <w:r w:rsidRPr="00A92BF1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ttīstības stratēģiju 2021.-2027. gadam un </w:t>
            </w:r>
            <w:r w:rsidR="00EA7427" w:rsidRPr="00A92BF1">
              <w:rPr>
                <w:rFonts w:eastAsia="Calibri"/>
                <w:sz w:val="22"/>
                <w:szCs w:val="22"/>
                <w:u w:color="000000"/>
                <w:lang w:val="lv-LV"/>
              </w:rPr>
              <w:t>RSU Zinātnes padomes lēmumu par RSU LSPA zinātniskās pētniecības galvenajiem virzieniem</w:t>
            </w:r>
            <w:r w:rsidR="00EA7427" w:rsidRPr="00A92BF1">
              <w:rPr>
                <w:rFonts w:eastAsia="Calibri"/>
                <w:sz w:val="22"/>
                <w:szCs w:val="22"/>
                <w:u w:color="000000"/>
                <w:lang w:val="lv-LV"/>
              </w:rPr>
              <w:t>;</w:t>
            </w:r>
          </w:p>
          <w:p w14:paraId="442D3573" w14:textId="4E9AC635" w:rsidR="00FC57A9" w:rsidRPr="00A92BF1" w:rsidRDefault="00FC57A9" w:rsidP="004B69BD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 w:rsidRPr="00A92BF1">
              <w:rPr>
                <w:rFonts w:eastAsia="Calibri"/>
                <w:sz w:val="22"/>
                <w:szCs w:val="22"/>
                <w:u w:color="000000"/>
                <w:lang w:val="lv-LV"/>
              </w:rPr>
              <w:t>apraksts par akadēmiskā un pētnieciskā darba rezultātu tālāku nodošanu</w:t>
            </w:r>
          </w:p>
          <w:p w14:paraId="2EAA168C" w14:textId="0EB24D4E" w:rsidR="00FC57A9" w:rsidRPr="004B69BD" w:rsidRDefault="00FC57A9" w:rsidP="004B69BD">
            <w:pPr>
              <w:pStyle w:val="ListParagraph"/>
              <w:jc w:val="both"/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  <w:tc>
          <w:tcPr>
            <w:tcW w:w="1418" w:type="dxa"/>
          </w:tcPr>
          <w:p w14:paraId="7617B6A1" w14:textId="3CA0F753" w:rsidR="00FC57A9" w:rsidRDefault="00A74311" w:rsidP="004113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lastRenderedPageBreak/>
              <w:t>p</w:t>
            </w:r>
            <w:r w:rsidR="00FC57A9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amatojuma vēstule, </w:t>
            </w:r>
          </w:p>
          <w:p w14:paraId="4E2FBA59" w14:textId="06C64331" w:rsidR="00FC57A9" w:rsidRDefault="00FC57A9" w:rsidP="004113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>brīvā formā</w:t>
            </w:r>
          </w:p>
        </w:tc>
        <w:tc>
          <w:tcPr>
            <w:tcW w:w="1559" w:type="dxa"/>
          </w:tcPr>
          <w:p w14:paraId="180CB8BC" w14:textId="27E8C093" w:rsidR="00FC57A9" w:rsidRPr="008D6339" w:rsidRDefault="00FC57A9" w:rsidP="004113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 w:rsidRPr="008D6339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punkti </w:t>
            </w:r>
            <w:r w:rsidR="00BF672B">
              <w:rPr>
                <w:rFonts w:eastAsia="Calibri"/>
                <w:sz w:val="22"/>
                <w:szCs w:val="22"/>
                <w:u w:color="000000"/>
                <w:lang w:val="lv-LV"/>
              </w:rPr>
              <w:t>0</w:t>
            </w:r>
            <w:r w:rsidRPr="008D6339">
              <w:rPr>
                <w:rFonts w:eastAsia="Calibri"/>
                <w:sz w:val="22"/>
                <w:szCs w:val="22"/>
                <w:u w:color="000000"/>
                <w:lang w:val="lv-LV"/>
              </w:rPr>
              <w:t>-</w:t>
            </w:r>
            <w:r w:rsidR="00AA3FE3">
              <w:rPr>
                <w:rFonts w:eastAsia="Calibri"/>
                <w:sz w:val="22"/>
                <w:szCs w:val="22"/>
                <w:u w:color="000000"/>
                <w:lang w:val="lv-LV"/>
              </w:rPr>
              <w:t>3</w:t>
            </w:r>
          </w:p>
        </w:tc>
        <w:tc>
          <w:tcPr>
            <w:tcW w:w="1134" w:type="dxa"/>
          </w:tcPr>
          <w:p w14:paraId="144BA624" w14:textId="77777777" w:rsidR="00FC57A9" w:rsidRPr="008D6339" w:rsidRDefault="00FC57A9" w:rsidP="004113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  <w:tc>
          <w:tcPr>
            <w:tcW w:w="4067" w:type="dxa"/>
          </w:tcPr>
          <w:p w14:paraId="637B99A1" w14:textId="101B5437" w:rsidR="00BF672B" w:rsidRPr="008609A4" w:rsidRDefault="00BF672B" w:rsidP="00B45D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 w:rsidRPr="008609A4">
              <w:rPr>
                <w:rFonts w:eastAsia="Calibri"/>
                <w:sz w:val="22"/>
                <w:szCs w:val="22"/>
                <w:u w:color="000000"/>
                <w:lang w:val="lv-LV"/>
              </w:rPr>
              <w:t>0 punkti: pētniecības virzienu ir paredzēts turpināt vai attīstīt RSU ietvaros, nulles punktu piešķiršana šajā kritērijā ir pamats noraidīt pieteikumu kā neatbilstošu</w:t>
            </w:r>
            <w:r w:rsidR="0093725A" w:rsidRPr="008609A4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 </w:t>
            </w:r>
            <w:r w:rsidR="00BD3F3E" w:rsidRPr="008609A4">
              <w:rPr>
                <w:rFonts w:eastAsia="Calibri"/>
                <w:sz w:val="22"/>
                <w:szCs w:val="22"/>
                <w:u w:color="000000"/>
                <w:lang w:val="lv-LV"/>
              </w:rPr>
              <w:lastRenderedPageBreak/>
              <w:t xml:space="preserve">Nolikuma 2.1. punktā paredzētajam </w:t>
            </w:r>
            <w:proofErr w:type="spellStart"/>
            <w:r w:rsidR="00BD3F3E" w:rsidRPr="008609A4">
              <w:rPr>
                <w:rFonts w:eastAsia="Calibri"/>
                <w:sz w:val="22"/>
                <w:szCs w:val="22"/>
                <w:u w:color="000000"/>
                <w:lang w:val="lv-LV"/>
              </w:rPr>
              <w:t>granta</w:t>
            </w:r>
            <w:proofErr w:type="spellEnd"/>
            <w:r w:rsidR="00BD3F3E" w:rsidRPr="008609A4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 veidam</w:t>
            </w:r>
            <w:r w:rsidRPr="008609A4">
              <w:rPr>
                <w:rFonts w:eastAsia="Calibri"/>
                <w:sz w:val="22"/>
                <w:szCs w:val="22"/>
                <w:u w:color="000000"/>
                <w:lang w:val="lv-LV"/>
              </w:rPr>
              <w:t>;</w:t>
            </w:r>
          </w:p>
          <w:p w14:paraId="23C9D9EE" w14:textId="77777777" w:rsidR="00BF672B" w:rsidRPr="008609A4" w:rsidRDefault="00BF672B" w:rsidP="00B45D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  <w:p w14:paraId="2324D86C" w14:textId="59B26E38" w:rsidR="00B45DF8" w:rsidRPr="008609A4" w:rsidRDefault="00B45DF8" w:rsidP="00B45D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 w:rsidRPr="008609A4">
              <w:rPr>
                <w:rFonts w:eastAsia="Calibri"/>
                <w:sz w:val="22"/>
                <w:szCs w:val="22"/>
                <w:u w:color="000000"/>
                <w:lang w:val="lv-LV"/>
              </w:rPr>
              <w:t>1 punkts: pamatojums ir vispārīgs un nepietiekami sasaistīts ar RSU</w:t>
            </w:r>
            <w:r w:rsidR="002A5110" w:rsidRPr="008609A4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 A</w:t>
            </w:r>
            <w:r w:rsidRPr="008609A4">
              <w:rPr>
                <w:rFonts w:eastAsia="Calibri"/>
                <w:sz w:val="22"/>
                <w:szCs w:val="22"/>
                <w:u w:color="000000"/>
                <w:lang w:val="lv-LV"/>
              </w:rPr>
              <w:t>ttīstības stratēģiju vai Zinātnes padomes lēmumiem; nav sniegta detalizēta informācija</w:t>
            </w:r>
            <w:r w:rsidR="00251F25" w:rsidRPr="008609A4">
              <w:rPr>
                <w:rFonts w:eastAsia="Calibri"/>
                <w:sz w:val="22"/>
                <w:szCs w:val="22"/>
                <w:u w:color="000000"/>
                <w:lang w:val="lv-LV"/>
              </w:rPr>
              <w:t>, kas pamato</w:t>
            </w:r>
            <w:r w:rsidRPr="008609A4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 pētniecības virziena </w:t>
            </w:r>
            <w:r w:rsidR="00251F25" w:rsidRPr="008609A4">
              <w:rPr>
                <w:rFonts w:eastAsia="Calibri"/>
                <w:sz w:val="22"/>
                <w:szCs w:val="22"/>
                <w:u w:color="000000"/>
                <w:lang w:val="lv-LV"/>
              </w:rPr>
              <w:t>neturpināšanu</w:t>
            </w:r>
            <w:r w:rsidRPr="008609A4">
              <w:rPr>
                <w:rFonts w:eastAsia="Calibri"/>
                <w:sz w:val="22"/>
                <w:szCs w:val="22"/>
                <w:u w:color="000000"/>
                <w:lang w:val="lv-LV"/>
              </w:rPr>
              <w:t>; nav sniegta skaidra informācija par akadēmisko un pētniecisko darbu tālāku nodošanu vai minētie soļi ir vispārīgi un bez praktiska izpildes plāna.</w:t>
            </w:r>
          </w:p>
          <w:p w14:paraId="046BF212" w14:textId="77777777" w:rsidR="00B45DF8" w:rsidRPr="008609A4" w:rsidRDefault="00B45DF8" w:rsidP="00B45D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  <w:p w14:paraId="37A517A9" w14:textId="48FA6A02" w:rsidR="00874DB8" w:rsidRPr="008609A4" w:rsidRDefault="0061053F" w:rsidP="00B45D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 w:rsidRPr="008609A4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2 – </w:t>
            </w:r>
            <w:r w:rsidR="00B45DF8" w:rsidRPr="008609A4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pamatojums daļēji izskaidro pretendenta pētniecības virziena neatbilstību RSU </w:t>
            </w:r>
            <w:r w:rsidR="002A5110" w:rsidRPr="008609A4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Attīstības </w:t>
            </w:r>
            <w:r w:rsidR="00B45DF8" w:rsidRPr="008609A4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stratēģijai vai Zinātnes padomes noteiktām prioritārām pētniecības jomām, tomēr trūkst pilnīga sasaistes vai skaidrojuma par to, kādēļ virziena attīstība nav iespējama; ir ieskicēti </w:t>
            </w:r>
            <w:proofErr w:type="spellStart"/>
            <w:r w:rsidR="00B45DF8" w:rsidRPr="008609A4">
              <w:rPr>
                <w:rFonts w:eastAsia="Calibri"/>
                <w:sz w:val="22"/>
                <w:szCs w:val="22"/>
                <w:u w:color="000000"/>
                <w:lang w:val="lv-LV"/>
              </w:rPr>
              <w:t>pamatsoļi</w:t>
            </w:r>
            <w:proofErr w:type="spellEnd"/>
            <w:r w:rsidR="00B45DF8" w:rsidRPr="008609A4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 akadēmisko un pētniecisko darbu nodošanai, taču trūkst detalizēta plāna vai pietiekamu pierādījumu par izpildes iespējām.</w:t>
            </w:r>
          </w:p>
          <w:p w14:paraId="5B5C5893" w14:textId="77777777" w:rsidR="00B45DF8" w:rsidRPr="008609A4" w:rsidRDefault="00B45DF8" w:rsidP="00B45D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  <w:p w14:paraId="4C667DA5" w14:textId="2F9C0B9C" w:rsidR="00B45DF8" w:rsidRPr="008609A4" w:rsidRDefault="00B45DF8" w:rsidP="00B45D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 w:rsidRPr="008609A4">
              <w:rPr>
                <w:rFonts w:eastAsia="Calibri"/>
                <w:sz w:val="22"/>
                <w:szCs w:val="22"/>
                <w:u w:color="000000"/>
                <w:lang w:val="lv-LV"/>
              </w:rPr>
              <w:t>3- pamatojums ir skaidrs, loģisks un detalizēts. Ir pamatoti pierādīts, ka pretendenta pētniecības virzienu nav iespējams turpināt RSU ietvaros, sniedzot atsauces uz konkrēt</w:t>
            </w:r>
            <w:r w:rsidR="000A4B1E" w:rsidRPr="008609A4">
              <w:rPr>
                <w:rFonts w:eastAsia="Calibri"/>
                <w:sz w:val="22"/>
                <w:szCs w:val="22"/>
                <w:u w:color="000000"/>
                <w:lang w:val="lv-LV"/>
              </w:rPr>
              <w:t>ā</w:t>
            </w:r>
            <w:r w:rsidRPr="008609A4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m </w:t>
            </w:r>
            <w:r w:rsidR="002A5110" w:rsidRPr="008609A4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RSU Attīstības </w:t>
            </w:r>
            <w:r w:rsidRPr="008609A4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stratēģijas </w:t>
            </w:r>
            <w:r w:rsidR="0093725A" w:rsidRPr="008609A4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sastāvdaļām </w:t>
            </w:r>
            <w:r w:rsidRPr="008609A4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vai Zinātnes padomes lēmumiem; sniegts detalizēts, strukturēts un praktisks plāns akadēmisko un pētniecisko darbu nodošanai, iekļaujot </w:t>
            </w:r>
            <w:r w:rsidRPr="008609A4">
              <w:rPr>
                <w:rFonts w:eastAsia="Calibri"/>
                <w:sz w:val="22"/>
                <w:szCs w:val="22"/>
                <w:u w:color="000000"/>
                <w:lang w:val="lv-LV"/>
              </w:rPr>
              <w:lastRenderedPageBreak/>
              <w:t>konkrētas darbības un laika grafiku, kas nodrošina pētniecības rezultātu turpināšanu vai pieejamību.</w:t>
            </w:r>
          </w:p>
          <w:p w14:paraId="3B17B3F4" w14:textId="33A6155B" w:rsidR="00B45DF8" w:rsidRPr="008609A4" w:rsidRDefault="00B45DF8" w:rsidP="00B45D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</w:tr>
      <w:tr w:rsidR="00FC57A9" w:rsidRPr="00EA7427" w14:paraId="7E82AA39" w14:textId="77777777" w:rsidTr="00A74311">
        <w:tc>
          <w:tcPr>
            <w:tcW w:w="5665" w:type="dxa"/>
          </w:tcPr>
          <w:p w14:paraId="56735EBC" w14:textId="7B91071F" w:rsidR="00FC57A9" w:rsidRDefault="00FC57A9" w:rsidP="00FA4416">
            <w:pPr>
              <w:jc w:val="both"/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lastRenderedPageBreak/>
              <w:t xml:space="preserve">Ja pretendents piesakās Nolikuma 2.2. punktā paredzētajam </w:t>
            </w:r>
            <w:proofErr w:type="spellStart"/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>granta</w:t>
            </w:r>
            <w:proofErr w:type="spellEnd"/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 veidam:</w:t>
            </w:r>
          </w:p>
          <w:p w14:paraId="346F1431" w14:textId="3DA04CF8" w:rsidR="00FC57A9" w:rsidRDefault="00FC57A9" w:rsidP="00FA4416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 w:rsidRPr="00411359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informācija, kas raksturo pretendenta nopelnus RSU LSPA attīstībā: sadarbība ar sporta nozari, </w:t>
            </w: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patenti, </w:t>
            </w:r>
            <w:r w:rsidRPr="00411359">
              <w:rPr>
                <w:rFonts w:eastAsia="Calibri"/>
                <w:sz w:val="22"/>
                <w:szCs w:val="22"/>
                <w:u w:color="000000"/>
                <w:lang w:val="lv-LV"/>
              </w:rPr>
              <w:t>monogrāfijas, studiju vai mācību līdzekļu izstrāde docētājiem un nozares speciālistiem, sabiedriskā ietekme un zinātnes komunikācija</w:t>
            </w: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>;</w:t>
            </w:r>
          </w:p>
          <w:p w14:paraId="5656C758" w14:textId="53E17E3A" w:rsidR="00FC57A9" w:rsidRDefault="00FC57A9" w:rsidP="00FA4416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 w:rsidRPr="008D0061">
              <w:rPr>
                <w:rFonts w:eastAsia="Calibri"/>
                <w:sz w:val="22"/>
                <w:szCs w:val="22"/>
                <w:u w:color="000000"/>
                <w:lang w:val="lv-LV"/>
              </w:rPr>
              <w:t>aprakst</w:t>
            </w: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>s</w:t>
            </w:r>
            <w:r w:rsidRPr="008D0061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 par akadēmiskā un pētnieciskā darba rezultātu tālāku nodošanu</w:t>
            </w:r>
          </w:p>
          <w:p w14:paraId="31C1591E" w14:textId="4FF86663" w:rsidR="00FC57A9" w:rsidRPr="00411359" w:rsidRDefault="00FC57A9" w:rsidP="008D0061">
            <w:pPr>
              <w:pStyle w:val="ListParagraph"/>
              <w:jc w:val="both"/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  <w:tc>
          <w:tcPr>
            <w:tcW w:w="1418" w:type="dxa"/>
          </w:tcPr>
          <w:p w14:paraId="301B91E9" w14:textId="0AE3BC33" w:rsidR="00FC57A9" w:rsidRDefault="0093725A" w:rsidP="00FA4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>p</w:t>
            </w:r>
            <w:r w:rsidR="00FC57A9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amatojuma vēstule, </w:t>
            </w:r>
          </w:p>
          <w:p w14:paraId="618490E3" w14:textId="2CB95FF4" w:rsidR="00FC57A9" w:rsidRDefault="00FC57A9" w:rsidP="00FA4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>brīvā formā</w:t>
            </w:r>
          </w:p>
        </w:tc>
        <w:tc>
          <w:tcPr>
            <w:tcW w:w="1559" w:type="dxa"/>
          </w:tcPr>
          <w:p w14:paraId="35B74F20" w14:textId="7BB3302C" w:rsidR="00FC57A9" w:rsidRPr="008D6339" w:rsidRDefault="00FC57A9" w:rsidP="00FA4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 w:rsidRPr="008D6339">
              <w:rPr>
                <w:rFonts w:eastAsia="Calibri"/>
                <w:sz w:val="22"/>
                <w:szCs w:val="22"/>
                <w:u w:color="000000"/>
                <w:lang w:val="lv-LV"/>
              </w:rPr>
              <w:t>punkti 1-</w:t>
            </w:r>
            <w:r w:rsidR="00AA3FE3">
              <w:rPr>
                <w:rFonts w:eastAsia="Calibri"/>
                <w:sz w:val="22"/>
                <w:szCs w:val="22"/>
                <w:u w:color="000000"/>
                <w:lang w:val="lv-LV"/>
              </w:rPr>
              <w:t>3</w:t>
            </w:r>
          </w:p>
        </w:tc>
        <w:tc>
          <w:tcPr>
            <w:tcW w:w="1134" w:type="dxa"/>
          </w:tcPr>
          <w:p w14:paraId="4212F473" w14:textId="77777777" w:rsidR="00FC57A9" w:rsidRPr="008D6339" w:rsidRDefault="00FC57A9" w:rsidP="00FA4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  <w:tc>
          <w:tcPr>
            <w:tcW w:w="4067" w:type="dxa"/>
          </w:tcPr>
          <w:p w14:paraId="2FF506FA" w14:textId="14B7450C" w:rsidR="0032392B" w:rsidRPr="008609A4" w:rsidRDefault="0032392B" w:rsidP="002A51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 w:rsidRPr="008609A4">
              <w:rPr>
                <w:rFonts w:eastAsia="Calibri"/>
                <w:sz w:val="22"/>
                <w:szCs w:val="22"/>
                <w:u w:color="000000"/>
                <w:lang w:val="lv-LV"/>
              </w:rPr>
              <w:t>1 – ieguldījums sporta nozares attīstībā ir minimāls vai ierobežots lokālā mērogā. Trūkst vai ir vājš, neskaidrs redzējums par akadēmiskā un pētnieciskā darba rezultātu tālāku nodošanu;</w:t>
            </w:r>
          </w:p>
          <w:p w14:paraId="6619603D" w14:textId="77777777" w:rsidR="0032392B" w:rsidRPr="008609A4" w:rsidRDefault="0032392B" w:rsidP="002A51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  <w:p w14:paraId="768DDF92" w14:textId="4F55B9CA" w:rsidR="0032392B" w:rsidRPr="008609A4" w:rsidRDefault="0032392B" w:rsidP="002A51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 w:rsidRPr="008609A4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2 – nopelni sporta nozarē ir nozīmīgi </w:t>
            </w:r>
            <w:r w:rsidR="0093725A" w:rsidRPr="008609A4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institūcijas un </w:t>
            </w:r>
            <w:r w:rsidRPr="008609A4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valsts līmenī. Ir ieskicēts </w:t>
            </w:r>
            <w:r w:rsidR="00AA5BEA" w:rsidRPr="008609A4">
              <w:rPr>
                <w:rFonts w:eastAsia="Calibri"/>
                <w:sz w:val="22"/>
                <w:szCs w:val="22"/>
                <w:u w:color="000000"/>
                <w:lang w:val="lv-LV"/>
              </w:rPr>
              <w:t>praktiski īstenojams</w:t>
            </w:r>
            <w:r w:rsidRPr="008609A4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 redzējums par akadēmiskā un pētnieciskā darba rezultātu tālāku nodošanu, kas veicina institūcijas attīstību un nodrošina iegūto rezultātu </w:t>
            </w:r>
            <w:proofErr w:type="spellStart"/>
            <w:r w:rsidRPr="008609A4">
              <w:rPr>
                <w:rFonts w:eastAsia="Calibri"/>
                <w:sz w:val="22"/>
                <w:szCs w:val="22"/>
                <w:u w:color="000000"/>
                <w:lang w:val="lv-LV"/>
              </w:rPr>
              <w:t>izmantojamību</w:t>
            </w:r>
            <w:proofErr w:type="spellEnd"/>
            <w:r w:rsidRPr="008609A4">
              <w:rPr>
                <w:rFonts w:eastAsia="Calibri"/>
                <w:sz w:val="22"/>
                <w:szCs w:val="22"/>
                <w:u w:color="000000"/>
                <w:lang w:val="lv-LV"/>
              </w:rPr>
              <w:t>;</w:t>
            </w:r>
          </w:p>
          <w:p w14:paraId="3BC6D4F5" w14:textId="77777777" w:rsidR="0032392B" w:rsidRPr="008609A4" w:rsidRDefault="0032392B" w:rsidP="002A51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  <w:p w14:paraId="54633F5D" w14:textId="4987EFAD" w:rsidR="0032392B" w:rsidRPr="008609A4" w:rsidRDefault="0032392B" w:rsidP="009334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 w:rsidRPr="008609A4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3 – nopelni sporta nozarē ir izcili un ar starptautisku ietekmi. Sniegts pārliecinošs, detalizēts un praktiski </w:t>
            </w:r>
            <w:r w:rsidR="00AA5BEA" w:rsidRPr="008609A4">
              <w:rPr>
                <w:rFonts w:eastAsia="Calibri"/>
                <w:sz w:val="22"/>
                <w:szCs w:val="22"/>
                <w:u w:color="000000"/>
                <w:lang w:val="lv-LV"/>
              </w:rPr>
              <w:t>īstenojams</w:t>
            </w:r>
            <w:r w:rsidRPr="008609A4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 redzējums par akadēmiskā un pētnieciskā darba rezultātu tālāku nodošanu. </w:t>
            </w:r>
          </w:p>
        </w:tc>
      </w:tr>
      <w:tr w:rsidR="00FC57A9" w:rsidRPr="00D639B0" w14:paraId="75953AC7" w14:textId="77777777" w:rsidTr="00A74311">
        <w:tc>
          <w:tcPr>
            <w:tcW w:w="5665" w:type="dxa"/>
            <w:tcBorders>
              <w:bottom w:val="single" w:sz="4" w:space="0" w:color="auto"/>
            </w:tcBorders>
          </w:tcPr>
          <w:p w14:paraId="4EE6F348" w14:textId="77777777" w:rsidR="00FC57A9" w:rsidRPr="00D639B0" w:rsidRDefault="00FC57A9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 w:rsidRPr="00D639B0">
              <w:rPr>
                <w:rFonts w:eastAsia="Calibri"/>
                <w:sz w:val="22"/>
                <w:szCs w:val="22"/>
                <w:u w:color="000000"/>
                <w:lang w:val="lv-LV"/>
              </w:rPr>
              <w:t>Punkti kopā: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F25D9D8" w14:textId="77777777" w:rsidR="00FC57A9" w:rsidRPr="00D639B0" w:rsidRDefault="00FC57A9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D0FF57D" w14:textId="74E5CE3C" w:rsidR="00FC57A9" w:rsidRPr="00D639B0" w:rsidRDefault="00FC57A9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6E537B1" w14:textId="77777777" w:rsidR="00FC57A9" w:rsidRPr="00D639B0" w:rsidRDefault="00FC57A9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  <w:tc>
          <w:tcPr>
            <w:tcW w:w="4067" w:type="dxa"/>
            <w:tcBorders>
              <w:bottom w:val="single" w:sz="4" w:space="0" w:color="auto"/>
            </w:tcBorders>
          </w:tcPr>
          <w:p w14:paraId="38497834" w14:textId="6C38B784" w:rsidR="00FC57A9" w:rsidRPr="00D639B0" w:rsidRDefault="00FC57A9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</w:tr>
    </w:tbl>
    <w:p w14:paraId="78FCE6F7" w14:textId="77777777" w:rsidR="006030B7" w:rsidRPr="00D639B0" w:rsidRDefault="006030B7" w:rsidP="006030B7">
      <w:pPr>
        <w:rPr>
          <w:rFonts w:eastAsia="Calibri"/>
          <w:sz w:val="22"/>
          <w:szCs w:val="22"/>
          <w:u w:color="000000"/>
          <w:lang w:val="lv-LV" w:eastAsia="lv-LV"/>
        </w:rPr>
      </w:pPr>
    </w:p>
    <w:p w14:paraId="7B2720A4" w14:textId="6EA43F64" w:rsidR="006030B7" w:rsidRPr="00D639B0" w:rsidRDefault="008D302F" w:rsidP="006030B7">
      <w:pPr>
        <w:pStyle w:val="Body"/>
        <w:spacing w:after="0" w:line="240" w:lineRule="auto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RSU Zinātnes padomes pārstāvja</w:t>
      </w:r>
      <w:r w:rsidR="006030B7" w:rsidRPr="00D639B0">
        <w:rPr>
          <w:rFonts w:ascii="Times New Roman" w:hAnsi="Times New Roman" w:cs="Times New Roman"/>
          <w:color w:val="auto"/>
        </w:rPr>
        <w:t xml:space="preserve"> vārds, uzvārds_____________________           Paraksts_____________________          </w:t>
      </w:r>
      <w:r w:rsidR="0087243F">
        <w:rPr>
          <w:rFonts w:ascii="Times New Roman" w:hAnsi="Times New Roman" w:cs="Times New Roman"/>
          <w:color w:val="auto"/>
        </w:rPr>
        <w:t xml:space="preserve"> </w:t>
      </w:r>
      <w:r w:rsidR="008E6C3B">
        <w:rPr>
          <w:rFonts w:ascii="Times New Roman" w:hAnsi="Times New Roman" w:cs="Times New Roman"/>
          <w:color w:val="auto"/>
        </w:rPr>
        <w:t>202</w:t>
      </w:r>
      <w:r w:rsidR="00206C5C">
        <w:rPr>
          <w:rFonts w:ascii="Times New Roman" w:hAnsi="Times New Roman" w:cs="Times New Roman"/>
          <w:color w:val="auto"/>
        </w:rPr>
        <w:t>5</w:t>
      </w:r>
      <w:r w:rsidR="006030B7" w:rsidRPr="00D639B0">
        <w:rPr>
          <w:rFonts w:ascii="Times New Roman" w:hAnsi="Times New Roman" w:cs="Times New Roman"/>
          <w:color w:val="auto"/>
        </w:rPr>
        <w:t>.</w:t>
      </w:r>
      <w:r w:rsidR="006030B7">
        <w:rPr>
          <w:rFonts w:ascii="Times New Roman" w:hAnsi="Times New Roman" w:cs="Times New Roman"/>
          <w:color w:val="auto"/>
        </w:rPr>
        <w:t xml:space="preserve"> </w:t>
      </w:r>
      <w:r w:rsidR="006030B7" w:rsidRPr="00D639B0">
        <w:rPr>
          <w:rFonts w:ascii="Times New Roman" w:hAnsi="Times New Roman" w:cs="Times New Roman"/>
          <w:color w:val="auto"/>
        </w:rPr>
        <w:t xml:space="preserve">gada ____.____________  </w:t>
      </w:r>
    </w:p>
    <w:p w14:paraId="48702A5D" w14:textId="13763720" w:rsidR="006030B7" w:rsidRPr="00D25D6C" w:rsidRDefault="006030B7" w:rsidP="004E5695">
      <w:pPr>
        <w:pStyle w:val="Body"/>
        <w:spacing w:after="0" w:line="240" w:lineRule="auto"/>
        <w:rPr>
          <w:sz w:val="18"/>
          <w:szCs w:val="18"/>
        </w:rPr>
      </w:pPr>
      <w:r w:rsidRPr="00D25D6C">
        <w:rPr>
          <w:rFonts w:ascii="Times New Roman" w:hAnsi="Times New Roman" w:cs="Times New Roman"/>
          <w:color w:val="auto"/>
          <w:sz w:val="18"/>
          <w:szCs w:val="18"/>
        </w:rPr>
        <w:t xml:space="preserve">  </w:t>
      </w:r>
    </w:p>
    <w:p w14:paraId="12161059" w14:textId="77777777" w:rsidR="00DA716A" w:rsidRPr="00FC57A9" w:rsidRDefault="00DA716A">
      <w:pPr>
        <w:rPr>
          <w:sz w:val="18"/>
          <w:szCs w:val="18"/>
          <w:lang w:val="lv-LV"/>
        </w:rPr>
      </w:pPr>
    </w:p>
    <w:p w14:paraId="216720F9" w14:textId="49FEC28E" w:rsidR="004E5695" w:rsidRDefault="003B0D37">
      <w:pPr>
        <w:rPr>
          <w:sz w:val="18"/>
          <w:szCs w:val="18"/>
          <w:lang w:val="lv-LV"/>
        </w:rPr>
      </w:pPr>
      <w:r w:rsidRPr="00FC57A9">
        <w:rPr>
          <w:sz w:val="18"/>
          <w:szCs w:val="18"/>
          <w:lang w:val="lv-LV"/>
        </w:rPr>
        <w:t xml:space="preserve">* pētniecības un attīstības projekti saskaņā ar </w:t>
      </w:r>
      <w:proofErr w:type="spellStart"/>
      <w:r w:rsidRPr="00FC57A9">
        <w:rPr>
          <w:sz w:val="18"/>
          <w:szCs w:val="18"/>
          <w:lang w:val="lv-LV"/>
        </w:rPr>
        <w:t>Frascati</w:t>
      </w:r>
      <w:proofErr w:type="spellEnd"/>
      <w:r w:rsidRPr="00FC57A9">
        <w:rPr>
          <w:sz w:val="18"/>
          <w:szCs w:val="18"/>
          <w:lang w:val="lv-LV"/>
        </w:rPr>
        <w:t xml:space="preserve"> rokasgrāmatu</w:t>
      </w:r>
    </w:p>
    <w:p w14:paraId="7FFA7F17" w14:textId="77777777" w:rsidR="00CA5369" w:rsidRPr="00FC57A9" w:rsidRDefault="00CA5369">
      <w:pPr>
        <w:rPr>
          <w:sz w:val="18"/>
          <w:szCs w:val="18"/>
          <w:lang w:val="lv-LV"/>
        </w:rPr>
      </w:pPr>
    </w:p>
    <w:sectPr w:rsidR="00CA5369" w:rsidRPr="00FC57A9" w:rsidSect="006030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2ABCD" w14:textId="77777777" w:rsidR="0031687E" w:rsidRDefault="0031687E" w:rsidP="00BC1015">
      <w:r>
        <w:separator/>
      </w:r>
    </w:p>
  </w:endnote>
  <w:endnote w:type="continuationSeparator" w:id="0">
    <w:p w14:paraId="7B710843" w14:textId="77777777" w:rsidR="0031687E" w:rsidRDefault="0031687E" w:rsidP="00BC1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0CACF" w14:textId="77777777" w:rsidR="00AE6913" w:rsidRDefault="00AE69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26BB8" w14:textId="77777777" w:rsidR="00AE6913" w:rsidRDefault="00AE69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1BD64" w14:textId="77777777" w:rsidR="00AE6913" w:rsidRDefault="00AE69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76C98" w14:textId="77777777" w:rsidR="0031687E" w:rsidRDefault="0031687E" w:rsidP="00BC1015">
      <w:r>
        <w:separator/>
      </w:r>
    </w:p>
  </w:footnote>
  <w:footnote w:type="continuationSeparator" w:id="0">
    <w:p w14:paraId="59BB2B82" w14:textId="77777777" w:rsidR="0031687E" w:rsidRDefault="0031687E" w:rsidP="00BC1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1C053" w14:textId="77777777" w:rsidR="00AE6913" w:rsidRDefault="00AE69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B8B80" w14:textId="77777777" w:rsidR="00BC1015" w:rsidRDefault="00BC1015" w:rsidP="00BC1015">
    <w:pPr>
      <w:rPr>
        <w:i/>
        <w:iCs/>
        <w:lang w:val="lv-LV" w:eastAsia="lv-LV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A52C0BE" wp14:editId="13B8FF3C">
          <wp:simplePos x="0" y="0"/>
          <wp:positionH relativeFrom="column">
            <wp:posOffset>2883839</wp:posOffset>
          </wp:positionH>
          <wp:positionV relativeFrom="paragraph">
            <wp:posOffset>-204884</wp:posOffset>
          </wp:positionV>
          <wp:extent cx="3076575" cy="779145"/>
          <wp:effectExtent l="0" t="0" r="9525" b="1905"/>
          <wp:wrapSquare wrapText="bothSides"/>
          <wp:docPr id="1" name="Picture 1" descr="C:\Users\marmen.RSU\Downloads\IPD-5165_Logo komplekts_balts fons_LV (5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men.RSU\Downloads\IPD-5165_Logo komplekts_balts fons_LV (5)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71" t="12933" r="4449" b="12508"/>
                  <a:stretch/>
                </pic:blipFill>
                <pic:spPr bwMode="auto">
                  <a:xfrm>
                    <a:off x="0" y="0"/>
                    <a:ext cx="307657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0497">
      <w:rPr>
        <w:i/>
        <w:iCs/>
        <w:lang w:val="lv-LV" w:eastAsia="lv-LV"/>
      </w:rPr>
      <w:t xml:space="preserve">Projekts “RSU iekšējā un RSU ar LSPA </w:t>
    </w:r>
  </w:p>
  <w:p w14:paraId="35961BC4" w14:textId="77777777" w:rsidR="00AE6913" w:rsidRDefault="00BC1015" w:rsidP="00AE6913">
    <w:pPr>
      <w:rPr>
        <w:i/>
        <w:iCs/>
        <w:lang w:val="lv-LV" w:eastAsia="lv-LV"/>
      </w:rPr>
    </w:pPr>
    <w:r w:rsidRPr="009E0497">
      <w:rPr>
        <w:i/>
        <w:iCs/>
        <w:lang w:val="lv-LV" w:eastAsia="lv-LV"/>
      </w:rPr>
      <w:t xml:space="preserve">ārējā konsolidācija” </w:t>
    </w:r>
  </w:p>
  <w:p w14:paraId="64037E0C" w14:textId="39DB8550" w:rsidR="00BC1015" w:rsidRDefault="00BC1015" w:rsidP="00AE6913">
    <w:pPr>
      <w:rPr>
        <w:i/>
        <w:iCs/>
        <w:lang w:val="lv-LV" w:eastAsia="lv-LV"/>
      </w:rPr>
    </w:pPr>
    <w:r w:rsidRPr="009E0497">
      <w:rPr>
        <w:i/>
        <w:iCs/>
        <w:lang w:val="lv-LV" w:eastAsia="lv-LV"/>
      </w:rPr>
      <w:t xml:space="preserve">(Nr.5.2.1.1.i.0/2/24/I/CFLA/005) </w:t>
    </w:r>
  </w:p>
  <w:p w14:paraId="75077650" w14:textId="77777777" w:rsidR="00BC1015" w:rsidRPr="00B31100" w:rsidRDefault="00BC1015" w:rsidP="00BC1015">
    <w:pPr>
      <w:rPr>
        <w:i/>
        <w:iCs/>
        <w:lang w:val="lv-LV" w:eastAsia="lv-LV"/>
      </w:rPr>
    </w:pPr>
  </w:p>
  <w:p w14:paraId="581144A8" w14:textId="77777777" w:rsidR="00BC1015" w:rsidRPr="00BC1015" w:rsidRDefault="00BC1015">
    <w:pPr>
      <w:pStyle w:val="Header"/>
      <w:rPr>
        <w:lang w:val="lv-LV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794DA" w14:textId="77777777" w:rsidR="00AE6913" w:rsidRDefault="00AE69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32BA3"/>
    <w:multiLevelType w:val="hybridMultilevel"/>
    <w:tmpl w:val="C29EAE32"/>
    <w:lvl w:ilvl="0" w:tplc="76F4D6C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26316"/>
    <w:multiLevelType w:val="hybridMultilevel"/>
    <w:tmpl w:val="B0342E62"/>
    <w:lvl w:ilvl="0" w:tplc="4672EB5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152220">
    <w:abstractNumId w:val="1"/>
  </w:num>
  <w:num w:numId="2" w16cid:durableId="1433010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0B7"/>
    <w:rsid w:val="00026D79"/>
    <w:rsid w:val="0002752E"/>
    <w:rsid w:val="00042A39"/>
    <w:rsid w:val="00047ABB"/>
    <w:rsid w:val="00070DD0"/>
    <w:rsid w:val="00080E4B"/>
    <w:rsid w:val="00081F83"/>
    <w:rsid w:val="000A4B1E"/>
    <w:rsid w:val="000C2F7E"/>
    <w:rsid w:val="001154D4"/>
    <w:rsid w:val="0011679D"/>
    <w:rsid w:val="00157028"/>
    <w:rsid w:val="00190574"/>
    <w:rsid w:val="001B7BCD"/>
    <w:rsid w:val="001C4DCD"/>
    <w:rsid w:val="001D09F6"/>
    <w:rsid w:val="001E0BC9"/>
    <w:rsid w:val="001E5DB6"/>
    <w:rsid w:val="001E6F12"/>
    <w:rsid w:val="001F1983"/>
    <w:rsid w:val="00206C5C"/>
    <w:rsid w:val="00212C29"/>
    <w:rsid w:val="00225B4B"/>
    <w:rsid w:val="00235930"/>
    <w:rsid w:val="00241146"/>
    <w:rsid w:val="00251F25"/>
    <w:rsid w:val="0025438B"/>
    <w:rsid w:val="0026138D"/>
    <w:rsid w:val="00291AA6"/>
    <w:rsid w:val="00297B70"/>
    <w:rsid w:val="002A1394"/>
    <w:rsid w:val="002A5110"/>
    <w:rsid w:val="002C502F"/>
    <w:rsid w:val="002D2E22"/>
    <w:rsid w:val="0031687E"/>
    <w:rsid w:val="0032392B"/>
    <w:rsid w:val="003303DF"/>
    <w:rsid w:val="003562C2"/>
    <w:rsid w:val="003A043D"/>
    <w:rsid w:val="003B0D37"/>
    <w:rsid w:val="00411359"/>
    <w:rsid w:val="00412B5E"/>
    <w:rsid w:val="00447856"/>
    <w:rsid w:val="00460263"/>
    <w:rsid w:val="00466151"/>
    <w:rsid w:val="004B69BD"/>
    <w:rsid w:val="004C63EC"/>
    <w:rsid w:val="004D0C5F"/>
    <w:rsid w:val="004D555A"/>
    <w:rsid w:val="004D635D"/>
    <w:rsid w:val="004E2692"/>
    <w:rsid w:val="004E5695"/>
    <w:rsid w:val="004F66EA"/>
    <w:rsid w:val="0051572D"/>
    <w:rsid w:val="005219EA"/>
    <w:rsid w:val="0052750A"/>
    <w:rsid w:val="0053142D"/>
    <w:rsid w:val="00542566"/>
    <w:rsid w:val="00561A16"/>
    <w:rsid w:val="005626C2"/>
    <w:rsid w:val="00565E2B"/>
    <w:rsid w:val="005A16EE"/>
    <w:rsid w:val="005C1AC1"/>
    <w:rsid w:val="005C2D1D"/>
    <w:rsid w:val="005D70B9"/>
    <w:rsid w:val="006030B7"/>
    <w:rsid w:val="0061053F"/>
    <w:rsid w:val="006223CA"/>
    <w:rsid w:val="00642965"/>
    <w:rsid w:val="0064311C"/>
    <w:rsid w:val="00646EC2"/>
    <w:rsid w:val="0065058D"/>
    <w:rsid w:val="00655492"/>
    <w:rsid w:val="0066183E"/>
    <w:rsid w:val="006B1CBE"/>
    <w:rsid w:val="006C24DC"/>
    <w:rsid w:val="006C570F"/>
    <w:rsid w:val="006D6482"/>
    <w:rsid w:val="006E5974"/>
    <w:rsid w:val="006F1C80"/>
    <w:rsid w:val="006F3C39"/>
    <w:rsid w:val="00714953"/>
    <w:rsid w:val="00722E73"/>
    <w:rsid w:val="0072583F"/>
    <w:rsid w:val="00733BA3"/>
    <w:rsid w:val="007362A9"/>
    <w:rsid w:val="007D62E2"/>
    <w:rsid w:val="007F40E5"/>
    <w:rsid w:val="00801323"/>
    <w:rsid w:val="00805306"/>
    <w:rsid w:val="00830FE7"/>
    <w:rsid w:val="008331EC"/>
    <w:rsid w:val="00844738"/>
    <w:rsid w:val="00854C39"/>
    <w:rsid w:val="008609A4"/>
    <w:rsid w:val="0087243F"/>
    <w:rsid w:val="00873644"/>
    <w:rsid w:val="00874DB8"/>
    <w:rsid w:val="008B3931"/>
    <w:rsid w:val="008B58A3"/>
    <w:rsid w:val="008D0061"/>
    <w:rsid w:val="008D1006"/>
    <w:rsid w:val="008D302F"/>
    <w:rsid w:val="008D6339"/>
    <w:rsid w:val="008E1749"/>
    <w:rsid w:val="008E6C3B"/>
    <w:rsid w:val="00906206"/>
    <w:rsid w:val="009079CA"/>
    <w:rsid w:val="009252E8"/>
    <w:rsid w:val="00933486"/>
    <w:rsid w:val="0093725A"/>
    <w:rsid w:val="00955437"/>
    <w:rsid w:val="0096167D"/>
    <w:rsid w:val="00982D42"/>
    <w:rsid w:val="00983303"/>
    <w:rsid w:val="00A42066"/>
    <w:rsid w:val="00A74311"/>
    <w:rsid w:val="00A92BF1"/>
    <w:rsid w:val="00AA3FE3"/>
    <w:rsid w:val="00AA5BEA"/>
    <w:rsid w:val="00AC2A71"/>
    <w:rsid w:val="00AE6913"/>
    <w:rsid w:val="00AF093B"/>
    <w:rsid w:val="00B02C66"/>
    <w:rsid w:val="00B13AC3"/>
    <w:rsid w:val="00B37DA7"/>
    <w:rsid w:val="00B45DF8"/>
    <w:rsid w:val="00B50C54"/>
    <w:rsid w:val="00B70987"/>
    <w:rsid w:val="00B911CE"/>
    <w:rsid w:val="00BC1015"/>
    <w:rsid w:val="00BC2C1F"/>
    <w:rsid w:val="00BD3F3E"/>
    <w:rsid w:val="00BE7440"/>
    <w:rsid w:val="00BF672B"/>
    <w:rsid w:val="00C0187D"/>
    <w:rsid w:val="00C1253E"/>
    <w:rsid w:val="00C16F6E"/>
    <w:rsid w:val="00C50E5F"/>
    <w:rsid w:val="00C540BD"/>
    <w:rsid w:val="00CA5369"/>
    <w:rsid w:val="00CD366D"/>
    <w:rsid w:val="00D107A5"/>
    <w:rsid w:val="00D21CD8"/>
    <w:rsid w:val="00D25D6C"/>
    <w:rsid w:val="00D638F7"/>
    <w:rsid w:val="00D91A6F"/>
    <w:rsid w:val="00D92F0A"/>
    <w:rsid w:val="00DA716A"/>
    <w:rsid w:val="00DB58D0"/>
    <w:rsid w:val="00DC12F5"/>
    <w:rsid w:val="00E0777F"/>
    <w:rsid w:val="00E115CF"/>
    <w:rsid w:val="00E37B4F"/>
    <w:rsid w:val="00E43758"/>
    <w:rsid w:val="00E6504E"/>
    <w:rsid w:val="00E7781F"/>
    <w:rsid w:val="00E801F7"/>
    <w:rsid w:val="00E83334"/>
    <w:rsid w:val="00EA7427"/>
    <w:rsid w:val="00EB5B27"/>
    <w:rsid w:val="00ED4481"/>
    <w:rsid w:val="00F34A51"/>
    <w:rsid w:val="00F46CE5"/>
    <w:rsid w:val="00F631CD"/>
    <w:rsid w:val="00F94910"/>
    <w:rsid w:val="00FA4416"/>
    <w:rsid w:val="00FC57A9"/>
    <w:rsid w:val="00FF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6CDC9C"/>
  <w15:chartTrackingRefBased/>
  <w15:docId w15:val="{041D786A-656A-4011-81B6-50D3AB85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030B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6030B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lv-LV"/>
    </w:rPr>
  </w:style>
  <w:style w:type="table" w:styleId="TableGrid">
    <w:name w:val="Table Grid"/>
    <w:basedOn w:val="TableNormal"/>
    <w:uiPriority w:val="39"/>
    <w:rsid w:val="006030B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E6C3B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258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58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583F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58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583F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ListParagraph">
    <w:name w:val="List Paragraph"/>
    <w:basedOn w:val="Normal"/>
    <w:uiPriority w:val="34"/>
    <w:qFormat/>
    <w:rsid w:val="00042A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74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440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C101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1015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C101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1015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C708B-418D-43FF-8482-4147D9E7B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3049</Words>
  <Characters>1738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Roze</dc:creator>
  <cp:keywords/>
  <dc:description/>
  <cp:lastModifiedBy>Diāna Laipniece</cp:lastModifiedBy>
  <cp:revision>5</cp:revision>
  <dcterms:created xsi:type="dcterms:W3CDTF">2025-03-17T09:07:00Z</dcterms:created>
  <dcterms:modified xsi:type="dcterms:W3CDTF">2025-03-17T09:08:00Z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6befc74cbdb8d8789a0c2a9db223bdb2d8f2c0ade77d3e48615e37e1b37b1c0f</vt:lpwstr>
  </property>
</Properties>
</file>