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5EDAB" w14:textId="77777777" w:rsidR="0067722D" w:rsidRPr="00632BEE" w:rsidRDefault="0067722D" w:rsidP="0067722D">
      <w:pPr>
        <w:jc w:val="both"/>
        <w:rPr>
          <w:b/>
          <w:bCs/>
          <w:color w:val="020202"/>
        </w:rPr>
      </w:pPr>
      <w:r w:rsidRPr="00632BEE">
        <w:rPr>
          <w:b/>
          <w:bCs/>
          <w:color w:val="000000" w:themeColor="text1"/>
        </w:rPr>
        <w:t xml:space="preserve">Vaccine </w:t>
      </w:r>
      <w:r>
        <w:rPr>
          <w:b/>
          <w:bCs/>
          <w:color w:val="000000" w:themeColor="text1"/>
        </w:rPr>
        <w:t>and</w:t>
      </w:r>
      <w:r w:rsidRPr="00632BEE">
        <w:rPr>
          <w:b/>
          <w:bCs/>
          <w:color w:val="000000" w:themeColor="text1"/>
        </w:rPr>
        <w:t xml:space="preserve"> SAMT-247 continuous releas</w:t>
      </w:r>
      <w:r>
        <w:rPr>
          <w:b/>
          <w:bCs/>
          <w:color w:val="000000" w:themeColor="text1"/>
        </w:rPr>
        <w:t xml:space="preserve">ed </w:t>
      </w:r>
      <w:r w:rsidRPr="00632BEE">
        <w:rPr>
          <w:b/>
          <w:bCs/>
          <w:color w:val="000000" w:themeColor="text1"/>
        </w:rPr>
        <w:t xml:space="preserve">by </w:t>
      </w:r>
      <w:r>
        <w:rPr>
          <w:b/>
          <w:bCs/>
          <w:color w:val="000000" w:themeColor="text1"/>
        </w:rPr>
        <w:t>intravaginal ring (</w:t>
      </w:r>
      <w:r w:rsidRPr="00632BEE">
        <w:rPr>
          <w:b/>
          <w:bCs/>
          <w:color w:val="000000" w:themeColor="text1"/>
        </w:rPr>
        <w:t>IVR</w:t>
      </w:r>
      <w:r>
        <w:rPr>
          <w:b/>
          <w:bCs/>
          <w:color w:val="000000" w:themeColor="text1"/>
        </w:rPr>
        <w:t>)</w:t>
      </w:r>
      <w:r w:rsidRPr="00632BEE">
        <w:rPr>
          <w:b/>
          <w:bCs/>
          <w:color w:val="000000" w:themeColor="text1"/>
        </w:rPr>
        <w:t xml:space="preserve"> </w:t>
      </w:r>
      <w:r w:rsidRPr="00632BEE">
        <w:rPr>
          <w:b/>
          <w:bCs/>
          <w:color w:val="020202"/>
        </w:rPr>
        <w:t>decreased risk of SIV acquisition</w:t>
      </w:r>
      <w:r>
        <w:rPr>
          <w:b/>
          <w:bCs/>
          <w:color w:val="020202"/>
        </w:rPr>
        <w:t xml:space="preserve"> in macaque</w:t>
      </w:r>
    </w:p>
    <w:p w14:paraId="6A0B809A" w14:textId="77777777" w:rsidR="0067722D" w:rsidRPr="00632BEE" w:rsidRDefault="0067722D" w:rsidP="0067722D">
      <w:pPr>
        <w:jc w:val="both"/>
        <w:rPr>
          <w:b/>
          <w:bCs/>
          <w:color w:val="020202"/>
        </w:rPr>
      </w:pPr>
    </w:p>
    <w:p w14:paraId="565178B9" w14:textId="77777777" w:rsidR="0067722D" w:rsidRPr="009F76BB" w:rsidRDefault="0067722D" w:rsidP="0067722D">
      <w:pPr>
        <w:autoSpaceDE w:val="0"/>
        <w:autoSpaceDN w:val="0"/>
        <w:adjustRightInd w:val="0"/>
        <w:jc w:val="both"/>
        <w:rPr>
          <w:rFonts w:eastAsiaTheme="minorHAnsi"/>
          <w14:ligatures w14:val="standardContextual"/>
        </w:rPr>
      </w:pPr>
      <w:r w:rsidRPr="00632BEE">
        <w:rPr>
          <w:color w:val="020202"/>
        </w:rPr>
        <w:t>Mohammad Arif Rahman</w:t>
      </w:r>
      <w:r w:rsidRPr="00632BEE">
        <w:rPr>
          <w:rFonts w:eastAsiaTheme="minorHAnsi"/>
          <w:vertAlign w:val="superscript"/>
          <w14:ligatures w14:val="standardContextual"/>
        </w:rPr>
        <w:t>1</w:t>
      </w:r>
      <w:r w:rsidRPr="00632BEE">
        <w:rPr>
          <w:color w:val="020202"/>
        </w:rPr>
        <w:t>, Emmanuel Woode</w:t>
      </w:r>
      <w:r w:rsidRPr="00632BEE">
        <w:rPr>
          <w:rFonts w:eastAsiaTheme="minorHAnsi"/>
          <w:vertAlign w:val="superscript"/>
          <w14:ligatures w14:val="standardContextual"/>
        </w:rPr>
        <w:t>1</w:t>
      </w:r>
      <w:r w:rsidRPr="00632BEE">
        <w:rPr>
          <w:color w:val="020202"/>
        </w:rPr>
        <w:t>, Massimiliano Bissa</w:t>
      </w:r>
      <w:r w:rsidRPr="00632BEE">
        <w:rPr>
          <w:rFonts w:eastAsiaTheme="minorHAnsi"/>
          <w:vertAlign w:val="superscript"/>
          <w14:ligatures w14:val="standardContextual"/>
        </w:rPr>
        <w:t>1</w:t>
      </w:r>
      <w:r w:rsidRPr="00632BEE">
        <w:rPr>
          <w:color w:val="020202"/>
        </w:rPr>
        <w:t xml:space="preserve">, </w:t>
      </w:r>
      <w:r w:rsidRPr="009F76BB">
        <w:rPr>
          <w:color w:val="020202"/>
        </w:rPr>
        <w:t>John Moss</w:t>
      </w:r>
      <w:r w:rsidRPr="009F76BB">
        <w:rPr>
          <w:rFonts w:eastAsiaTheme="minorHAnsi"/>
          <w:vertAlign w:val="superscript"/>
          <w14:ligatures w14:val="standardContextual"/>
        </w:rPr>
        <w:t>2</w:t>
      </w:r>
      <w:r w:rsidRPr="009F76BB">
        <w:rPr>
          <w:color w:val="020202"/>
        </w:rPr>
        <w:t xml:space="preserve">, </w:t>
      </w:r>
      <w:r w:rsidRPr="009C5C8A">
        <w:rPr>
          <w:color w:val="020202"/>
        </w:rPr>
        <w:t>Manjula Gunawardana</w:t>
      </w:r>
      <w:r w:rsidRPr="009F76BB">
        <w:rPr>
          <w:rFonts w:eastAsiaTheme="minorHAnsi"/>
          <w:vertAlign w:val="superscript"/>
          <w14:ligatures w14:val="standardContextual"/>
        </w:rPr>
        <w:t>2</w:t>
      </w:r>
      <w:r>
        <w:rPr>
          <w:color w:val="020202"/>
        </w:rPr>
        <w:t xml:space="preserve">, </w:t>
      </w:r>
      <w:r w:rsidRPr="009F76BB">
        <w:rPr>
          <w:color w:val="020202"/>
        </w:rPr>
        <w:t>Sophia Brown</w:t>
      </w:r>
      <w:r w:rsidRPr="009F76BB">
        <w:rPr>
          <w:rFonts w:eastAsiaTheme="minorHAnsi"/>
          <w:vertAlign w:val="superscript"/>
          <w14:ligatures w14:val="standardContextual"/>
        </w:rPr>
        <w:t>1</w:t>
      </w:r>
      <w:r w:rsidRPr="009F76BB">
        <w:rPr>
          <w:color w:val="020202"/>
        </w:rPr>
        <w:t>,</w:t>
      </w:r>
      <w:r w:rsidRPr="009C5C8A">
        <w:t xml:space="preserve"> </w:t>
      </w:r>
      <w:r w:rsidRPr="009F76BB">
        <w:t>Hyoyoung Choo-Wosoba</w:t>
      </w:r>
      <w:r w:rsidRPr="009F76BB">
        <w:rPr>
          <w:vertAlign w:val="superscript"/>
        </w:rPr>
        <w:t>3</w:t>
      </w:r>
      <w:r w:rsidRPr="009F76BB">
        <w:t xml:space="preserve">, </w:t>
      </w:r>
      <w:r w:rsidRPr="009F76BB">
        <w:rPr>
          <w:rFonts w:eastAsiaTheme="minorHAnsi"/>
          <w14:ligatures w14:val="standardContextual"/>
        </w:rPr>
        <w:t>Isabela Silva de Castro</w:t>
      </w:r>
      <w:r w:rsidRPr="009F76BB">
        <w:rPr>
          <w:rFonts w:eastAsiaTheme="minorHAnsi"/>
          <w:vertAlign w:val="superscript"/>
          <w14:ligatures w14:val="standardContextual"/>
        </w:rPr>
        <w:t>1</w:t>
      </w:r>
      <w:r w:rsidRPr="009F76BB">
        <w:rPr>
          <w:color w:val="020202"/>
        </w:rPr>
        <w:t xml:space="preserve">, </w:t>
      </w:r>
      <w:r w:rsidRPr="003D5701">
        <w:rPr>
          <w:color w:val="020202"/>
        </w:rPr>
        <w:t>Anna Gutowska</w:t>
      </w:r>
      <w:r w:rsidRPr="003D5701">
        <w:rPr>
          <w:color w:val="020202"/>
          <w:vertAlign w:val="superscript"/>
        </w:rPr>
        <w:t>1</w:t>
      </w:r>
      <w:r w:rsidRPr="003D5701">
        <w:rPr>
          <w:color w:val="020202"/>
        </w:rPr>
        <w:t>, Sarkis Sarkis</w:t>
      </w:r>
      <w:r w:rsidRPr="003D5701">
        <w:rPr>
          <w:color w:val="020202"/>
          <w:vertAlign w:val="superscript"/>
        </w:rPr>
        <w:t>1</w:t>
      </w:r>
      <w:r w:rsidRPr="003D5701">
        <w:rPr>
          <w:color w:val="020202"/>
        </w:rPr>
        <w:t>,</w:t>
      </w:r>
      <w:r>
        <w:rPr>
          <w:color w:val="020202"/>
        </w:rPr>
        <w:t xml:space="preserve"> </w:t>
      </w:r>
      <w:r w:rsidRPr="009F76BB">
        <w:rPr>
          <w:color w:val="020202"/>
        </w:rPr>
        <w:t>Melvin Doster</w:t>
      </w:r>
      <w:r w:rsidRPr="009F76BB">
        <w:rPr>
          <w:rFonts w:eastAsiaTheme="minorHAnsi"/>
          <w:vertAlign w:val="superscript"/>
          <w14:ligatures w14:val="standardContextual"/>
        </w:rPr>
        <w:t>1</w:t>
      </w:r>
      <w:r w:rsidRPr="009F76BB">
        <w:rPr>
          <w:color w:val="020202"/>
        </w:rPr>
        <w:t xml:space="preserve">, </w:t>
      </w:r>
      <w:r w:rsidRPr="00360321">
        <w:rPr>
          <w:color w:val="020202"/>
        </w:rPr>
        <w:t>Luca Schifanella</w:t>
      </w:r>
      <w:r w:rsidRPr="00360321">
        <w:rPr>
          <w:rFonts w:eastAsiaTheme="minorHAnsi"/>
          <w:vertAlign w:val="superscript"/>
          <w14:ligatures w14:val="standardContextual"/>
        </w:rPr>
        <w:t>1</w:t>
      </w:r>
      <w:r w:rsidRPr="009F76BB">
        <w:rPr>
          <w:color w:val="020202"/>
        </w:rPr>
        <w:t xml:space="preserve">, </w:t>
      </w:r>
      <w:r w:rsidRPr="009F76BB">
        <w:rPr>
          <w:rFonts w:eastAsiaTheme="minorHAnsi"/>
          <w14:ligatures w14:val="standardContextual"/>
        </w:rPr>
        <w:t>Daniel H. Appella</w:t>
      </w:r>
      <w:r w:rsidRPr="009F76BB">
        <w:rPr>
          <w:rFonts w:eastAsiaTheme="minorHAnsi"/>
          <w:vertAlign w:val="superscript"/>
          <w14:ligatures w14:val="standardContextual"/>
        </w:rPr>
        <w:t>4</w:t>
      </w:r>
      <w:r w:rsidRPr="009F76BB">
        <w:rPr>
          <w:rFonts w:eastAsiaTheme="minorHAnsi"/>
          <w14:ligatures w14:val="standardContextual"/>
        </w:rPr>
        <w:t xml:space="preserve">, </w:t>
      </w:r>
      <w:r w:rsidRPr="009F76BB">
        <w:rPr>
          <w:color w:val="020202"/>
        </w:rPr>
        <w:t>Marc Baum</w:t>
      </w:r>
      <w:r w:rsidRPr="009F76BB">
        <w:rPr>
          <w:rFonts w:eastAsiaTheme="minorHAnsi"/>
          <w:vertAlign w:val="superscript"/>
          <w14:ligatures w14:val="standardContextual"/>
        </w:rPr>
        <w:t>2</w:t>
      </w:r>
      <w:r w:rsidRPr="009F76BB">
        <w:rPr>
          <w:color w:val="020202"/>
        </w:rPr>
        <w:t>, Genoveffa Franchini</w:t>
      </w:r>
      <w:r w:rsidRPr="009F76BB">
        <w:rPr>
          <w:rFonts w:eastAsiaTheme="minorHAnsi"/>
          <w:vertAlign w:val="superscript"/>
          <w14:ligatures w14:val="standardContextual"/>
        </w:rPr>
        <w:t>1</w:t>
      </w:r>
    </w:p>
    <w:p w14:paraId="0E9136D0" w14:textId="77777777" w:rsidR="0067722D" w:rsidRPr="00632BEE" w:rsidRDefault="0067722D" w:rsidP="0067722D">
      <w:pPr>
        <w:jc w:val="both"/>
        <w:rPr>
          <w:color w:val="000000" w:themeColor="text1"/>
        </w:rPr>
      </w:pPr>
    </w:p>
    <w:p w14:paraId="73F088B9" w14:textId="77777777" w:rsidR="0067722D" w:rsidRDefault="0067722D" w:rsidP="0067722D">
      <w:pPr>
        <w:autoSpaceDE w:val="0"/>
        <w:autoSpaceDN w:val="0"/>
        <w:adjustRightInd w:val="0"/>
        <w:jc w:val="both"/>
        <w:rPr>
          <w:rFonts w:eastAsiaTheme="minorHAnsi"/>
          <w:i/>
          <w:iCs/>
          <w14:ligatures w14:val="standardContextual"/>
        </w:rPr>
      </w:pPr>
      <w:r w:rsidRPr="00632BEE">
        <w:rPr>
          <w:rFonts w:eastAsiaTheme="minorHAnsi"/>
          <w:i/>
          <w:iCs/>
          <w:vertAlign w:val="superscript"/>
          <w14:ligatures w14:val="standardContextual"/>
        </w:rPr>
        <w:t>1</w:t>
      </w:r>
      <w:r w:rsidRPr="00632BEE">
        <w:rPr>
          <w:rFonts w:eastAsiaTheme="minorHAnsi"/>
          <w:i/>
          <w:iCs/>
          <w14:ligatures w14:val="standardContextual"/>
        </w:rPr>
        <w:t xml:space="preserve">Animal Models and Retroviral Vaccines Section, National Cancer Institute, Bethesda, MD, </w:t>
      </w:r>
      <w:r w:rsidRPr="00632BEE">
        <w:rPr>
          <w:i/>
          <w:color w:val="212121"/>
        </w:rPr>
        <w:t>United States</w:t>
      </w:r>
      <w:r w:rsidRPr="00632BEE">
        <w:rPr>
          <w:rFonts w:eastAsiaTheme="minorHAnsi"/>
          <w:i/>
          <w:iCs/>
          <w14:ligatures w14:val="standardContextual"/>
        </w:rPr>
        <w:t xml:space="preserve">; </w:t>
      </w:r>
      <w:r w:rsidRPr="00632BEE">
        <w:rPr>
          <w:rFonts w:eastAsiaTheme="minorHAnsi"/>
          <w:i/>
          <w:iCs/>
          <w:vertAlign w:val="superscript"/>
          <w14:ligatures w14:val="standardContextual"/>
        </w:rPr>
        <w:t>2</w:t>
      </w:r>
      <w:r w:rsidRPr="00632BEE">
        <w:rPr>
          <w:rFonts w:eastAsiaTheme="minorHAnsi"/>
          <w:i/>
          <w:iCs/>
          <w14:ligatures w14:val="standardContextual"/>
        </w:rPr>
        <w:t xml:space="preserve">Oak Crest Institute of Science, Monrovia, CA, </w:t>
      </w:r>
      <w:r w:rsidRPr="00632BEE">
        <w:rPr>
          <w:i/>
          <w:color w:val="212121"/>
        </w:rPr>
        <w:t>United States;</w:t>
      </w:r>
      <w:r w:rsidRPr="00632BEE">
        <w:rPr>
          <w:rFonts w:eastAsiaTheme="minorHAnsi"/>
          <w:i/>
          <w:iCs/>
          <w14:ligatures w14:val="standardContextual"/>
        </w:rPr>
        <w:t xml:space="preserve"> </w:t>
      </w:r>
      <w:r w:rsidRPr="00632BEE">
        <w:rPr>
          <w:i/>
          <w:color w:val="212121"/>
          <w:vertAlign w:val="superscript"/>
        </w:rPr>
        <w:t>3</w:t>
      </w:r>
      <w:r w:rsidRPr="00632BEE">
        <w:rPr>
          <w:i/>
        </w:rPr>
        <w:t>Office of</w:t>
      </w:r>
      <w:r w:rsidRPr="00632BEE">
        <w:rPr>
          <w:i/>
          <w:iCs/>
        </w:rPr>
        <w:t xml:space="preserve"> Collaborative Biostatistics, Center for Cancer Research, National Cancer Institute, Bethesda, MD, </w:t>
      </w:r>
      <w:r w:rsidRPr="00632BEE">
        <w:rPr>
          <w:i/>
          <w:color w:val="212121"/>
        </w:rPr>
        <w:t>United States</w:t>
      </w:r>
      <w:r w:rsidRPr="00632BEE">
        <w:rPr>
          <w:i/>
          <w:iCs/>
        </w:rPr>
        <w:t>;</w:t>
      </w:r>
      <w:r w:rsidRPr="00632BEE">
        <w:rPr>
          <w:rFonts w:eastAsiaTheme="minorHAnsi"/>
          <w:i/>
          <w:iCs/>
          <w14:ligatures w14:val="standardContextual"/>
        </w:rPr>
        <w:t xml:space="preserve"> </w:t>
      </w:r>
      <w:r>
        <w:rPr>
          <w:rFonts w:eastAsiaTheme="minorHAnsi"/>
          <w:i/>
          <w:iCs/>
          <w:vertAlign w:val="superscript"/>
          <w14:ligatures w14:val="standardContextual"/>
        </w:rPr>
        <w:t>4</w:t>
      </w:r>
      <w:r w:rsidRPr="00632BEE">
        <w:rPr>
          <w:rFonts w:eastAsiaTheme="minorHAnsi"/>
          <w:i/>
          <w:iCs/>
          <w14:ligatures w14:val="standardContextual"/>
        </w:rPr>
        <w:t>Synthetic Bioactive Molecules Section, National</w:t>
      </w:r>
      <w:r>
        <w:rPr>
          <w:rFonts w:eastAsiaTheme="minorHAnsi"/>
          <w:i/>
          <w:iCs/>
          <w14:ligatures w14:val="standardContextual"/>
        </w:rPr>
        <w:t xml:space="preserve"> </w:t>
      </w:r>
      <w:r w:rsidRPr="00632BEE">
        <w:rPr>
          <w:rFonts w:eastAsiaTheme="minorHAnsi"/>
          <w:i/>
          <w:iCs/>
          <w14:ligatures w14:val="standardContextual"/>
        </w:rPr>
        <w:t>Institute of Diabetes and Digestive and Kidney Diseases, National Institutes of Health, Bethesda, MD, USA.</w:t>
      </w:r>
    </w:p>
    <w:p w14:paraId="6DBA2621" w14:textId="77777777" w:rsidR="0067722D" w:rsidRDefault="0067722D" w:rsidP="0067722D">
      <w:pPr>
        <w:autoSpaceDE w:val="0"/>
        <w:autoSpaceDN w:val="0"/>
        <w:adjustRightInd w:val="0"/>
        <w:jc w:val="both"/>
        <w:rPr>
          <w:rFonts w:eastAsiaTheme="minorHAnsi"/>
          <w:i/>
          <w:iCs/>
          <w14:ligatures w14:val="standardContextual"/>
        </w:rPr>
      </w:pPr>
    </w:p>
    <w:p w14:paraId="1955A2AC" w14:textId="77777777" w:rsidR="0067722D" w:rsidRDefault="0067722D" w:rsidP="0067722D">
      <w:pPr>
        <w:autoSpaceDE w:val="0"/>
        <w:autoSpaceDN w:val="0"/>
        <w:adjustRightInd w:val="0"/>
        <w:jc w:val="both"/>
        <w:rPr>
          <w:rFonts w:eastAsiaTheme="minorHAnsi"/>
          <w:i/>
          <w:iCs/>
          <w14:ligatures w14:val="standardContextual"/>
        </w:rPr>
      </w:pPr>
    </w:p>
    <w:p w14:paraId="054E5C81" w14:textId="77777777" w:rsidR="0067722D" w:rsidRDefault="0067722D" w:rsidP="0067722D">
      <w:pPr>
        <w:autoSpaceDE w:val="0"/>
        <w:autoSpaceDN w:val="0"/>
        <w:adjustRightInd w:val="0"/>
        <w:jc w:val="both"/>
        <w:rPr>
          <w:rFonts w:eastAsiaTheme="minorHAnsi"/>
          <w:i/>
          <w:iCs/>
          <w14:ligatures w14:val="standardContextual"/>
        </w:rPr>
      </w:pPr>
    </w:p>
    <w:p w14:paraId="2A3F874C" w14:textId="77777777" w:rsidR="0067722D" w:rsidRPr="0051734E" w:rsidRDefault="0067722D" w:rsidP="0067722D">
      <w:pPr>
        <w:autoSpaceDE w:val="0"/>
        <w:autoSpaceDN w:val="0"/>
        <w:adjustRightInd w:val="0"/>
        <w:jc w:val="both"/>
        <w:rPr>
          <w:rFonts w:eastAsiaTheme="minorHAnsi"/>
          <w:b/>
          <w:bCs/>
          <w14:ligatures w14:val="standardContextual"/>
        </w:rPr>
      </w:pPr>
      <w:r w:rsidRPr="0051734E">
        <w:rPr>
          <w:rFonts w:eastAsiaTheme="minorHAnsi"/>
          <w:b/>
          <w:bCs/>
          <w14:ligatures w14:val="standardContextual"/>
        </w:rPr>
        <w:t>Abstract:</w:t>
      </w:r>
    </w:p>
    <w:p w14:paraId="62363E8E" w14:textId="77777777" w:rsidR="0067722D" w:rsidRDefault="0067722D" w:rsidP="0067722D">
      <w:pPr>
        <w:shd w:val="clear" w:color="auto" w:fill="FFFFFB"/>
        <w:spacing w:before="100" w:beforeAutospacing="1" w:after="100" w:afterAutospacing="1"/>
        <w:jc w:val="both"/>
        <w:rPr>
          <w:color w:val="212529"/>
          <w:shd w:val="clear" w:color="auto" w:fill="FFFFFF"/>
        </w:rPr>
      </w:pPr>
      <w:r w:rsidRPr="0051734E">
        <w:rPr>
          <w:rStyle w:val="Strong"/>
          <w:color w:val="212529"/>
          <w:shd w:val="clear" w:color="auto" w:fill="FFFFFF"/>
        </w:rPr>
        <w:t>Background:</w:t>
      </w:r>
      <w:r w:rsidRPr="0051734E">
        <w:rPr>
          <w:color w:val="212529"/>
          <w:shd w:val="clear" w:color="auto" w:fill="FFFFFF"/>
        </w:rPr>
        <w:t xml:space="preserve"> The HIV epidemic remains unabated in sub-Saharan Africa, particularly in adolescent women who have limited access to antiretroviral therapy. The deletion of the Env V1 region of the DNA/ALVAC/gp120 vaccine regimen has improved vaccine efficacy </w:t>
      </w:r>
      <w:r>
        <w:rPr>
          <w:color w:val="212529"/>
          <w:shd w:val="clear" w:color="auto" w:fill="FFFFFF"/>
        </w:rPr>
        <w:t xml:space="preserve">up to 65% in female macaques </w:t>
      </w:r>
      <w:r w:rsidRPr="0051734E">
        <w:rPr>
          <w:color w:val="212529"/>
          <w:shd w:val="clear" w:color="auto" w:fill="FFFFFF"/>
        </w:rPr>
        <w:t xml:space="preserve">compared to RV144 trial. Furthermore, the </w:t>
      </w:r>
      <w:r>
        <w:rPr>
          <w:color w:val="212529"/>
          <w:shd w:val="clear" w:color="auto" w:fill="FFFFFF"/>
        </w:rPr>
        <w:t xml:space="preserve">protein </w:t>
      </w:r>
      <w:r w:rsidRPr="00F13CAA">
        <w:rPr>
          <w:color w:val="FF0000"/>
          <w:shd w:val="clear" w:color="auto" w:fill="FFFFFF"/>
        </w:rPr>
        <w:t xml:space="preserve">zinc </w:t>
      </w:r>
      <w:r>
        <w:rPr>
          <w:color w:val="FF0000"/>
          <w:shd w:val="clear" w:color="auto" w:fill="FFFFFF"/>
        </w:rPr>
        <w:t>inhibitor</w:t>
      </w:r>
      <w:r>
        <w:rPr>
          <w:color w:val="212529"/>
          <w:shd w:val="clear" w:color="auto" w:fill="FFFFFF"/>
        </w:rPr>
        <w:t xml:space="preserve"> </w:t>
      </w:r>
      <w:r w:rsidRPr="0051734E">
        <w:rPr>
          <w:color w:val="212529"/>
          <w:shd w:val="clear" w:color="auto" w:fill="FFFFFF"/>
        </w:rPr>
        <w:t>SAMT-247 formulated as vaginal gel</w:t>
      </w:r>
      <w:r>
        <w:rPr>
          <w:color w:val="212529"/>
          <w:shd w:val="clear" w:color="auto" w:fill="FFFFFF"/>
        </w:rPr>
        <w:t xml:space="preserve"> in combination with </w:t>
      </w:r>
      <w:r w:rsidRPr="0051734E">
        <w:rPr>
          <w:color w:val="212529"/>
          <w:shd w:val="clear" w:color="auto" w:fill="FFFFFF"/>
        </w:rPr>
        <w:t>ΔV1 DNA/ALVAC/gp120/alum</w:t>
      </w:r>
      <w:r>
        <w:rPr>
          <w:color w:val="212529"/>
          <w:shd w:val="clear" w:color="auto" w:fill="FFFFFF"/>
        </w:rPr>
        <w:t xml:space="preserve"> vaccine showed 92.7% vaccine efficacy. </w:t>
      </w:r>
      <w:r w:rsidRPr="00F55E20">
        <w:rPr>
          <w:color w:val="212529"/>
          <w:shd w:val="clear" w:color="auto" w:fill="FFFFFF"/>
        </w:rPr>
        <w:t xml:space="preserve">Since the use of vaginal gel is not user-friendly, we developed an intravaginal ring (IVR) that continuously releases SAMT-247 and combined it with the ΔV1 DNA/ALVAC/gp120/alum vaccine to replicate the vaccine efficacy observed in previous studies. We also aimed to investigate the </w:t>
      </w:r>
      <w:r w:rsidRPr="00F55E20">
        <w:rPr>
          <w:i/>
          <w:iCs/>
          <w:color w:val="212529"/>
          <w:shd w:val="clear" w:color="auto" w:fill="FFFFFF"/>
        </w:rPr>
        <w:t>ex vivo</w:t>
      </w:r>
      <w:r w:rsidRPr="00F55E20">
        <w:rPr>
          <w:color w:val="212529"/>
          <w:shd w:val="clear" w:color="auto" w:fill="FFFFFF"/>
        </w:rPr>
        <w:t xml:space="preserve"> effects of SAMT-247 on the immune responses of both vaccinated and naïve animals.</w:t>
      </w:r>
    </w:p>
    <w:p w14:paraId="560AC685" w14:textId="77777777" w:rsidR="0067722D" w:rsidRDefault="0067722D" w:rsidP="0067722D">
      <w:pPr>
        <w:shd w:val="clear" w:color="auto" w:fill="FFFFFB"/>
        <w:spacing w:before="100" w:beforeAutospacing="1" w:after="100" w:afterAutospacing="1"/>
        <w:jc w:val="both"/>
        <w:rPr>
          <w:color w:val="212529"/>
          <w:shd w:val="clear" w:color="auto" w:fill="FFFFFF"/>
        </w:rPr>
      </w:pPr>
      <w:r w:rsidRPr="0051734E">
        <w:rPr>
          <w:color w:val="212529"/>
          <w:shd w:val="clear" w:color="auto" w:fill="FFFFFF"/>
        </w:rPr>
        <w:br/>
      </w:r>
      <w:r w:rsidRPr="0051734E">
        <w:rPr>
          <w:rStyle w:val="Strong"/>
          <w:color w:val="212529"/>
          <w:shd w:val="clear" w:color="auto" w:fill="FFFFFF"/>
        </w:rPr>
        <w:t>Methods:</w:t>
      </w:r>
      <w:r w:rsidRPr="0051734E">
        <w:rPr>
          <w:color w:val="212529"/>
          <w:shd w:val="clear" w:color="auto" w:fill="FFFFFF"/>
        </w:rPr>
        <w:t> </w:t>
      </w:r>
      <w:r w:rsidRPr="00F55E20">
        <w:rPr>
          <w:color w:val="212529"/>
          <w:shd w:val="clear" w:color="auto" w:fill="FFFFFF"/>
        </w:rPr>
        <w:t>Twelve macaques were vaccinated with the ΔV1 DNA/ALVAC/gp120/alum vaccines at weeks 0, 4, 8, and 12. In week 13, SAMT-247 IVR devices were inserted into the animals and replaced every 4 weeks. Ten naïve animals also received SAMT-247 IVR at the same time as the vaccinated animals, serving as controls. Mucosal samples and blood were collected before and 2 weeks after the insertion of SAMT-247 IVR to conduct immunological assays, including ADCC, efferocytosis, and flow cytometry, to measure cell frequencies and cytokine production, with a focus on immune responses linked to vaccine efficacy.</w:t>
      </w:r>
      <w:r>
        <w:rPr>
          <w:color w:val="212529"/>
          <w:shd w:val="clear" w:color="auto" w:fill="FFFFFF"/>
        </w:rPr>
        <w:t xml:space="preserve"> </w:t>
      </w:r>
      <w:r w:rsidRPr="0051734E">
        <w:rPr>
          <w:color w:val="212529"/>
          <w:shd w:val="clear" w:color="auto" w:fill="FFFFFF"/>
        </w:rPr>
        <w:t xml:space="preserve">All animals received up to 14 consecutive weekly intravaginal SIVmac251 challenges in the presence </w:t>
      </w:r>
      <w:r>
        <w:rPr>
          <w:color w:val="212529"/>
          <w:shd w:val="clear" w:color="auto" w:fill="FFFFFF"/>
        </w:rPr>
        <w:t>of</w:t>
      </w:r>
      <w:r w:rsidRPr="0051734E">
        <w:rPr>
          <w:color w:val="212529"/>
          <w:shd w:val="clear" w:color="auto" w:fill="FFFFFF"/>
        </w:rPr>
        <w:t xml:space="preserve"> SAMT-247 </w:t>
      </w:r>
      <w:r>
        <w:rPr>
          <w:color w:val="212529"/>
          <w:shd w:val="clear" w:color="auto" w:fill="FFFFFF"/>
        </w:rPr>
        <w:t xml:space="preserve">IVR </w:t>
      </w:r>
      <w:r w:rsidRPr="0051734E">
        <w:rPr>
          <w:color w:val="212529"/>
          <w:shd w:val="clear" w:color="auto" w:fill="FFFFFF"/>
        </w:rPr>
        <w:t xml:space="preserve">until infection was confirmed. </w:t>
      </w:r>
    </w:p>
    <w:p w14:paraId="766EBC99" w14:textId="77777777" w:rsidR="0067722D" w:rsidRDefault="0067722D" w:rsidP="0067722D">
      <w:pPr>
        <w:shd w:val="clear" w:color="auto" w:fill="FFFFFB"/>
        <w:spacing w:before="100" w:beforeAutospacing="1" w:after="100" w:afterAutospacing="1"/>
        <w:jc w:val="both"/>
        <w:rPr>
          <w:color w:val="212529"/>
          <w:shd w:val="clear" w:color="auto" w:fill="FFFFFF"/>
        </w:rPr>
      </w:pPr>
      <w:r w:rsidRPr="0051734E">
        <w:rPr>
          <w:color w:val="212529"/>
          <w:shd w:val="clear" w:color="auto" w:fill="FFFFFF"/>
        </w:rPr>
        <w:br/>
      </w:r>
      <w:r w:rsidRPr="0051734E">
        <w:rPr>
          <w:rStyle w:val="Strong"/>
          <w:color w:val="212529"/>
          <w:shd w:val="clear" w:color="auto" w:fill="FFFFFF"/>
        </w:rPr>
        <w:t>Results:</w:t>
      </w:r>
      <w:r w:rsidRPr="0051734E">
        <w:rPr>
          <w:color w:val="212529"/>
          <w:shd w:val="clear" w:color="auto" w:fill="FFFFFF"/>
        </w:rPr>
        <w:t> </w:t>
      </w:r>
      <w:r w:rsidRPr="007519D5">
        <w:rPr>
          <w:color w:val="212529"/>
          <w:shd w:val="clear" w:color="auto" w:fill="FFFFFF"/>
        </w:rPr>
        <w:t xml:space="preserve">The historical vaccine-alone group showed a 65% reduction in the risk of virus acquisition (p=0.0074). Remarkably, the combination of the vaccine with SAMT-247 IVR led to an 84.2% decrease in virus acquisition compared to controls (p&lt;0.0001). SAMT-247 IVR alone also significantly reduced the risk of SIV acquisition (p=0.048). However, the combination of the vaccine with SAMT-247 IVR was more effective than the SAMT-247 IVR alone (p=0.04).  The </w:t>
      </w:r>
      <w:r w:rsidRPr="007519D5">
        <w:rPr>
          <w:color w:val="212529"/>
          <w:shd w:val="clear" w:color="auto" w:fill="FFFFFF"/>
        </w:rPr>
        <w:lastRenderedPageBreak/>
        <w:t xml:space="preserve">inclusion of SAMT-247 IVR in the vaccine group increased the frequency of </w:t>
      </w:r>
      <w:r>
        <w:rPr>
          <w:color w:val="212529"/>
          <w:shd w:val="clear" w:color="auto" w:fill="FFFFFF"/>
        </w:rPr>
        <w:t xml:space="preserve">mucosal </w:t>
      </w:r>
      <w:r w:rsidRPr="007519D5">
        <w:rPr>
          <w:color w:val="212529"/>
          <w:shd w:val="clear" w:color="auto" w:fill="FFFFFF"/>
        </w:rPr>
        <w:t>NKp44</w:t>
      </w:r>
      <w:r w:rsidRPr="007519D5">
        <w:rPr>
          <w:color w:val="212529"/>
          <w:shd w:val="clear" w:color="auto" w:fill="FFFFFF"/>
          <w:vertAlign w:val="superscript"/>
        </w:rPr>
        <w:t>+</w:t>
      </w:r>
      <w:r w:rsidRPr="007519D5">
        <w:rPr>
          <w:color w:val="212529"/>
          <w:shd w:val="clear" w:color="auto" w:fill="FFFFFF"/>
        </w:rPr>
        <w:t xml:space="preserve"> ILCs and gp120-induced IL-17</w:t>
      </w:r>
      <w:r w:rsidRPr="007519D5">
        <w:rPr>
          <w:color w:val="212529"/>
          <w:shd w:val="clear" w:color="auto" w:fill="FFFFFF"/>
          <w:vertAlign w:val="superscript"/>
        </w:rPr>
        <w:t>+</w:t>
      </w:r>
      <w:r w:rsidRPr="007519D5">
        <w:rPr>
          <w:color w:val="212529"/>
          <w:shd w:val="clear" w:color="auto" w:fill="FFFFFF"/>
        </w:rPr>
        <w:t xml:space="preserve"> NKp44</w:t>
      </w:r>
      <w:r w:rsidRPr="007519D5">
        <w:rPr>
          <w:color w:val="212529"/>
          <w:shd w:val="clear" w:color="auto" w:fill="FFFFFF"/>
          <w:vertAlign w:val="superscript"/>
        </w:rPr>
        <w:t>+</w:t>
      </w:r>
      <w:r w:rsidRPr="007519D5">
        <w:rPr>
          <w:color w:val="212529"/>
          <w:shd w:val="clear" w:color="auto" w:fill="FFFFFF"/>
        </w:rPr>
        <w:t xml:space="preserve"> ILCs, both of which were correlated with a reduced risk of SIV infection. SAMT-247 IVR also enhanced NK cell activity, which in turn boosted ADCC activity, further correlating with a decreased risk of SIV infection.  Moreover, SAMT-247 increased the frequency of </w:t>
      </w:r>
      <w:r>
        <w:rPr>
          <w:color w:val="212529"/>
          <w:shd w:val="clear" w:color="auto" w:fill="FFFFFF"/>
        </w:rPr>
        <w:t>mucosal</w:t>
      </w:r>
      <w:r w:rsidRPr="007519D5">
        <w:rPr>
          <w:color w:val="212529"/>
          <w:shd w:val="clear" w:color="auto" w:fill="FFFFFF"/>
        </w:rPr>
        <w:t xml:space="preserve"> gp120-induced IL-10</w:t>
      </w:r>
      <w:r w:rsidRPr="007519D5">
        <w:rPr>
          <w:color w:val="212529"/>
          <w:shd w:val="clear" w:color="auto" w:fill="FFFFFF"/>
          <w:vertAlign w:val="superscript"/>
        </w:rPr>
        <w:t>+</w:t>
      </w:r>
      <w:r w:rsidRPr="007519D5">
        <w:rPr>
          <w:color w:val="212529"/>
          <w:shd w:val="clear" w:color="auto" w:fill="FFFFFF"/>
        </w:rPr>
        <w:t xml:space="preserve"> non-classical monocytes, CD73</w:t>
      </w:r>
      <w:r w:rsidRPr="007519D5">
        <w:rPr>
          <w:color w:val="212529"/>
          <w:shd w:val="clear" w:color="auto" w:fill="FFFFFF"/>
          <w:vertAlign w:val="superscript"/>
        </w:rPr>
        <w:t>+</w:t>
      </w:r>
      <w:r w:rsidRPr="007519D5">
        <w:rPr>
          <w:color w:val="212529"/>
          <w:shd w:val="clear" w:color="auto" w:fill="FFFFFF"/>
        </w:rPr>
        <w:t xml:space="preserve"> mDCs, and gp120-induced IL-10</w:t>
      </w:r>
      <w:r w:rsidRPr="007519D5">
        <w:rPr>
          <w:color w:val="212529"/>
          <w:shd w:val="clear" w:color="auto" w:fill="FFFFFF"/>
          <w:vertAlign w:val="superscript"/>
        </w:rPr>
        <w:t>+</w:t>
      </w:r>
      <w:r w:rsidRPr="007519D5">
        <w:rPr>
          <w:color w:val="212529"/>
          <w:shd w:val="clear" w:color="auto" w:fill="FFFFFF"/>
        </w:rPr>
        <w:t xml:space="preserve"> DC10, all of which were associated with reduced SIV acquisition. In contrast, while in naïve animals SAMT-247 IVR insertion increased </w:t>
      </w:r>
      <w:r>
        <w:rPr>
          <w:color w:val="212529"/>
          <w:shd w:val="clear" w:color="auto" w:fill="FFFFFF"/>
        </w:rPr>
        <w:t>mucosal</w:t>
      </w:r>
      <w:r w:rsidRPr="007519D5">
        <w:rPr>
          <w:color w:val="212529"/>
          <w:shd w:val="clear" w:color="auto" w:fill="FFFFFF"/>
        </w:rPr>
        <w:t xml:space="preserve"> NK cell frequency, PMA-induced CD107</w:t>
      </w:r>
      <w:r w:rsidRPr="007519D5">
        <w:rPr>
          <w:color w:val="212529"/>
          <w:shd w:val="clear" w:color="auto" w:fill="FFFFFF"/>
          <w:vertAlign w:val="superscript"/>
        </w:rPr>
        <w:t>+</w:t>
      </w:r>
      <w:r w:rsidRPr="007519D5">
        <w:rPr>
          <w:color w:val="212529"/>
          <w:shd w:val="clear" w:color="auto" w:fill="FFFFFF"/>
        </w:rPr>
        <w:t xml:space="preserve"> NK cells, CD73</w:t>
      </w:r>
      <w:r w:rsidRPr="007519D5">
        <w:rPr>
          <w:color w:val="212529"/>
          <w:shd w:val="clear" w:color="auto" w:fill="FFFFFF"/>
          <w:vertAlign w:val="superscript"/>
        </w:rPr>
        <w:t>+</w:t>
      </w:r>
      <w:r w:rsidRPr="007519D5">
        <w:rPr>
          <w:color w:val="212529"/>
          <w:shd w:val="clear" w:color="auto" w:fill="FFFFFF"/>
        </w:rPr>
        <w:t xml:space="preserve"> classical monocytes, CD73</w:t>
      </w:r>
      <w:r w:rsidRPr="007519D5">
        <w:rPr>
          <w:color w:val="212529"/>
          <w:shd w:val="clear" w:color="auto" w:fill="FFFFFF"/>
          <w:vertAlign w:val="superscript"/>
        </w:rPr>
        <w:t>+</w:t>
      </w:r>
      <w:r w:rsidRPr="007519D5">
        <w:rPr>
          <w:color w:val="212529"/>
          <w:shd w:val="clear" w:color="auto" w:fill="FFFFFF"/>
        </w:rPr>
        <w:t xml:space="preserve"> mDCs, and CD73</w:t>
      </w:r>
      <w:r w:rsidRPr="007519D5">
        <w:rPr>
          <w:color w:val="212529"/>
          <w:shd w:val="clear" w:color="auto" w:fill="FFFFFF"/>
          <w:vertAlign w:val="superscript"/>
        </w:rPr>
        <w:t>+</w:t>
      </w:r>
      <w:r w:rsidRPr="007519D5">
        <w:rPr>
          <w:color w:val="212529"/>
          <w:shd w:val="clear" w:color="auto" w:fill="FFFFFF"/>
        </w:rPr>
        <w:t xml:space="preserve"> DC10 cells, these were not linked to a reduced risk of infection.  Therefore, SAMT-247 IVR </w:t>
      </w:r>
      <w:r>
        <w:rPr>
          <w:color w:val="212529"/>
          <w:shd w:val="clear" w:color="auto" w:fill="FFFFFF"/>
        </w:rPr>
        <w:t>act</w:t>
      </w:r>
      <w:r w:rsidRPr="007519D5">
        <w:rPr>
          <w:color w:val="212529"/>
          <w:shd w:val="clear" w:color="auto" w:fill="FFFFFF"/>
        </w:rPr>
        <w:t xml:space="preserve"> differently in vaccinated animals compared to naïve animals.</w:t>
      </w:r>
    </w:p>
    <w:p w14:paraId="11462316" w14:textId="77777777" w:rsidR="0067722D" w:rsidRDefault="0067722D" w:rsidP="0067722D">
      <w:pPr>
        <w:shd w:val="clear" w:color="auto" w:fill="FFFFFB"/>
        <w:spacing w:before="100" w:beforeAutospacing="1" w:after="100" w:afterAutospacing="1"/>
        <w:jc w:val="both"/>
        <w:rPr>
          <w:color w:val="212529"/>
          <w:shd w:val="clear" w:color="auto" w:fill="FFFFFF"/>
        </w:rPr>
      </w:pPr>
      <w:r w:rsidRPr="0051734E">
        <w:rPr>
          <w:color w:val="212529"/>
          <w:shd w:val="clear" w:color="auto" w:fill="FFFFFF"/>
        </w:rPr>
        <w:br/>
      </w:r>
      <w:r w:rsidRPr="0051734E">
        <w:rPr>
          <w:rStyle w:val="Strong"/>
          <w:color w:val="212529"/>
          <w:shd w:val="clear" w:color="auto" w:fill="FFFFFF"/>
        </w:rPr>
        <w:t>Conclusions:</w:t>
      </w:r>
      <w:r w:rsidRPr="0051734E">
        <w:rPr>
          <w:color w:val="212529"/>
          <w:shd w:val="clear" w:color="auto" w:fill="FFFFFF"/>
        </w:rPr>
        <w:t> </w:t>
      </w:r>
      <w:r>
        <w:rPr>
          <w:color w:val="212529"/>
          <w:shd w:val="clear" w:color="auto" w:fill="FFFFFF"/>
        </w:rPr>
        <w:t xml:space="preserve">SAMT-247 increases the protective immune responses generated by vaccine, which leads to reduced risk of SIV infection. This data suggested </w:t>
      </w:r>
      <w:r w:rsidRPr="0051734E">
        <w:rPr>
          <w:color w:val="212529"/>
          <w:shd w:val="clear" w:color="auto" w:fill="FFFFFF"/>
        </w:rPr>
        <w:t>controlled release</w:t>
      </w:r>
      <w:r>
        <w:rPr>
          <w:color w:val="212529"/>
          <w:shd w:val="clear" w:color="auto" w:fill="FFFFFF"/>
        </w:rPr>
        <w:t xml:space="preserve"> of SAMT-247 by</w:t>
      </w:r>
      <w:r w:rsidRPr="0051734E">
        <w:rPr>
          <w:color w:val="212529"/>
          <w:shd w:val="clear" w:color="auto" w:fill="FFFFFF"/>
        </w:rPr>
        <w:t xml:space="preserve"> intravaginal ring, combined with the DNA/ALVAC/gp120/alum vaccine regimen, </w:t>
      </w:r>
      <w:r>
        <w:rPr>
          <w:color w:val="212529"/>
          <w:shd w:val="clear" w:color="auto" w:fill="FFFFFF"/>
        </w:rPr>
        <w:t xml:space="preserve">might </w:t>
      </w:r>
      <w:r w:rsidRPr="0051734E">
        <w:rPr>
          <w:color w:val="212529"/>
          <w:shd w:val="clear" w:color="auto" w:fill="FFFFFF"/>
        </w:rPr>
        <w:t xml:space="preserve">result in </w:t>
      </w:r>
      <w:r>
        <w:rPr>
          <w:color w:val="212529"/>
          <w:shd w:val="clear" w:color="auto" w:fill="FFFFFF"/>
        </w:rPr>
        <w:t>an efficacious preventative strategy to end HIV endemic.</w:t>
      </w:r>
    </w:p>
    <w:p w14:paraId="690748A1" w14:textId="0F0ECBAC" w:rsidR="008A7BDA" w:rsidRPr="0067722D" w:rsidRDefault="008A7BDA" w:rsidP="0067722D"/>
    <w:sectPr w:rsidR="008A7BDA" w:rsidRPr="0067722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AD315" w14:textId="77777777" w:rsidR="00F52222" w:rsidRDefault="00F52222" w:rsidP="009F76BB">
      <w:r>
        <w:separator/>
      </w:r>
    </w:p>
  </w:endnote>
  <w:endnote w:type="continuationSeparator" w:id="0">
    <w:p w14:paraId="6CC6352F" w14:textId="77777777" w:rsidR="00F52222" w:rsidRDefault="00F52222" w:rsidP="009F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DD98C" w14:textId="77777777" w:rsidR="00F52222" w:rsidRDefault="00F52222" w:rsidP="009F76BB">
      <w:r>
        <w:separator/>
      </w:r>
    </w:p>
  </w:footnote>
  <w:footnote w:type="continuationSeparator" w:id="0">
    <w:p w14:paraId="217FAA59" w14:textId="77777777" w:rsidR="00F52222" w:rsidRDefault="00F52222" w:rsidP="009F7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66F4B" w14:textId="5DFA6617" w:rsidR="009F76BB" w:rsidRDefault="009F76BB" w:rsidP="009F76BB">
    <w:pPr>
      <w:pStyle w:val="Header"/>
      <w:tabs>
        <w:tab w:val="clear" w:pos="4680"/>
        <w:tab w:val="clear" w:pos="9360"/>
        <w:tab w:val="left" w:pos="7949"/>
      </w:tabs>
    </w:pPr>
    <w:r>
      <w:t>Rahman et al.</w:t>
    </w:r>
    <w:r>
      <w:tab/>
    </w:r>
    <w:r w:rsidR="004F27CC">
      <w:t>10</w:t>
    </w:r>
    <w:r>
      <w:t>.</w:t>
    </w:r>
    <w:r w:rsidR="006830D1">
      <w:t>21</w:t>
    </w:r>
    <w:r>
      <w:t>.24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vwsdfwx4sw25geves6xda2o2dvaf5vw0dzt&quot;&gt;My EndNote Library 05032017&lt;record-ids&gt;&lt;item&gt;105&lt;/item&gt;&lt;item&gt;228&lt;/item&gt;&lt;item&gt;494&lt;/item&gt;&lt;item&gt;607&lt;/item&gt;&lt;/record-ids&gt;&lt;/item&gt;&lt;/Libraries&gt;"/>
  </w:docVars>
  <w:rsids>
    <w:rsidRoot w:val="004B1308"/>
    <w:rsid w:val="00027B8D"/>
    <w:rsid w:val="000731FF"/>
    <w:rsid w:val="000B4A3A"/>
    <w:rsid w:val="000B69EC"/>
    <w:rsid w:val="000D548D"/>
    <w:rsid w:val="000E4DAC"/>
    <w:rsid w:val="00106310"/>
    <w:rsid w:val="00131C4C"/>
    <w:rsid w:val="001351FC"/>
    <w:rsid w:val="0014152E"/>
    <w:rsid w:val="00141DEF"/>
    <w:rsid w:val="0014490F"/>
    <w:rsid w:val="00157343"/>
    <w:rsid w:val="00166BF3"/>
    <w:rsid w:val="00197838"/>
    <w:rsid w:val="001A10B3"/>
    <w:rsid w:val="001A1763"/>
    <w:rsid w:val="001D4A78"/>
    <w:rsid w:val="001E1260"/>
    <w:rsid w:val="001E6FF4"/>
    <w:rsid w:val="001F6443"/>
    <w:rsid w:val="002010BC"/>
    <w:rsid w:val="00202F24"/>
    <w:rsid w:val="00204B89"/>
    <w:rsid w:val="00211596"/>
    <w:rsid w:val="002B0723"/>
    <w:rsid w:val="002C5F8D"/>
    <w:rsid w:val="002F4552"/>
    <w:rsid w:val="00326120"/>
    <w:rsid w:val="00346563"/>
    <w:rsid w:val="00360321"/>
    <w:rsid w:val="003730AD"/>
    <w:rsid w:val="00375A93"/>
    <w:rsid w:val="00377489"/>
    <w:rsid w:val="00390377"/>
    <w:rsid w:val="003925D3"/>
    <w:rsid w:val="003C6879"/>
    <w:rsid w:val="003D4CF5"/>
    <w:rsid w:val="003D5701"/>
    <w:rsid w:val="003F40A2"/>
    <w:rsid w:val="004243D5"/>
    <w:rsid w:val="00432F59"/>
    <w:rsid w:val="00435A2D"/>
    <w:rsid w:val="00447C89"/>
    <w:rsid w:val="0048254C"/>
    <w:rsid w:val="00490B87"/>
    <w:rsid w:val="00492016"/>
    <w:rsid w:val="004B1308"/>
    <w:rsid w:val="004C28D4"/>
    <w:rsid w:val="004D41C0"/>
    <w:rsid w:val="004D74F2"/>
    <w:rsid w:val="004D7531"/>
    <w:rsid w:val="004F27CC"/>
    <w:rsid w:val="004F65B6"/>
    <w:rsid w:val="004F7959"/>
    <w:rsid w:val="0051633B"/>
    <w:rsid w:val="0051734E"/>
    <w:rsid w:val="005300CC"/>
    <w:rsid w:val="00531BF1"/>
    <w:rsid w:val="00532CC0"/>
    <w:rsid w:val="005570FE"/>
    <w:rsid w:val="0056416A"/>
    <w:rsid w:val="00573C4D"/>
    <w:rsid w:val="00574F66"/>
    <w:rsid w:val="00575B91"/>
    <w:rsid w:val="00580D0E"/>
    <w:rsid w:val="0058577F"/>
    <w:rsid w:val="00591235"/>
    <w:rsid w:val="005A2AF2"/>
    <w:rsid w:val="005B468F"/>
    <w:rsid w:val="005C3FB1"/>
    <w:rsid w:val="005D0B1D"/>
    <w:rsid w:val="00615711"/>
    <w:rsid w:val="006166BA"/>
    <w:rsid w:val="006203B6"/>
    <w:rsid w:val="00630ECB"/>
    <w:rsid w:val="00632BEE"/>
    <w:rsid w:val="00633E9F"/>
    <w:rsid w:val="00654BC0"/>
    <w:rsid w:val="0067722D"/>
    <w:rsid w:val="006830D1"/>
    <w:rsid w:val="00696AEC"/>
    <w:rsid w:val="006B344D"/>
    <w:rsid w:val="006E7CC1"/>
    <w:rsid w:val="00700638"/>
    <w:rsid w:val="007137EA"/>
    <w:rsid w:val="007519D5"/>
    <w:rsid w:val="00770435"/>
    <w:rsid w:val="007B1A55"/>
    <w:rsid w:val="007B51C2"/>
    <w:rsid w:val="007E4EF3"/>
    <w:rsid w:val="007E5145"/>
    <w:rsid w:val="00811712"/>
    <w:rsid w:val="00820659"/>
    <w:rsid w:val="008247E3"/>
    <w:rsid w:val="00835957"/>
    <w:rsid w:val="00837983"/>
    <w:rsid w:val="00844B25"/>
    <w:rsid w:val="008458FB"/>
    <w:rsid w:val="0085122F"/>
    <w:rsid w:val="00863082"/>
    <w:rsid w:val="008A121A"/>
    <w:rsid w:val="008A328D"/>
    <w:rsid w:val="008A62EF"/>
    <w:rsid w:val="008A7BDA"/>
    <w:rsid w:val="008C5F47"/>
    <w:rsid w:val="008E4F77"/>
    <w:rsid w:val="00915272"/>
    <w:rsid w:val="009220E6"/>
    <w:rsid w:val="00923B43"/>
    <w:rsid w:val="00934BA5"/>
    <w:rsid w:val="00946824"/>
    <w:rsid w:val="00972492"/>
    <w:rsid w:val="0098449F"/>
    <w:rsid w:val="0099039B"/>
    <w:rsid w:val="00996CB7"/>
    <w:rsid w:val="009A5AD3"/>
    <w:rsid w:val="009B30AD"/>
    <w:rsid w:val="009B5F65"/>
    <w:rsid w:val="009C30E9"/>
    <w:rsid w:val="009C5C8A"/>
    <w:rsid w:val="009F75E3"/>
    <w:rsid w:val="009F76BB"/>
    <w:rsid w:val="00A022C9"/>
    <w:rsid w:val="00A21D8E"/>
    <w:rsid w:val="00A42255"/>
    <w:rsid w:val="00A52975"/>
    <w:rsid w:val="00A73321"/>
    <w:rsid w:val="00AA0439"/>
    <w:rsid w:val="00AA5F5A"/>
    <w:rsid w:val="00AD2ABD"/>
    <w:rsid w:val="00B431B0"/>
    <w:rsid w:val="00B4658A"/>
    <w:rsid w:val="00B509F9"/>
    <w:rsid w:val="00B54DF6"/>
    <w:rsid w:val="00B64FBD"/>
    <w:rsid w:val="00B706E9"/>
    <w:rsid w:val="00B84529"/>
    <w:rsid w:val="00B84547"/>
    <w:rsid w:val="00BA5E38"/>
    <w:rsid w:val="00BB0685"/>
    <w:rsid w:val="00BC2BB6"/>
    <w:rsid w:val="00BD7651"/>
    <w:rsid w:val="00BF343A"/>
    <w:rsid w:val="00C07F0F"/>
    <w:rsid w:val="00C13B46"/>
    <w:rsid w:val="00C30D9F"/>
    <w:rsid w:val="00C33DB5"/>
    <w:rsid w:val="00C8264F"/>
    <w:rsid w:val="00C85B43"/>
    <w:rsid w:val="00CB3128"/>
    <w:rsid w:val="00CB70F3"/>
    <w:rsid w:val="00CC5B6E"/>
    <w:rsid w:val="00CD02DD"/>
    <w:rsid w:val="00CE1E2B"/>
    <w:rsid w:val="00CE7504"/>
    <w:rsid w:val="00D1274C"/>
    <w:rsid w:val="00D159B7"/>
    <w:rsid w:val="00D30353"/>
    <w:rsid w:val="00D31A4B"/>
    <w:rsid w:val="00D32304"/>
    <w:rsid w:val="00D4509A"/>
    <w:rsid w:val="00D55B43"/>
    <w:rsid w:val="00D55CA5"/>
    <w:rsid w:val="00D64EF9"/>
    <w:rsid w:val="00D87C6D"/>
    <w:rsid w:val="00DB4234"/>
    <w:rsid w:val="00DC324E"/>
    <w:rsid w:val="00DD74B7"/>
    <w:rsid w:val="00E12D65"/>
    <w:rsid w:val="00E20570"/>
    <w:rsid w:val="00E33D9F"/>
    <w:rsid w:val="00E50B12"/>
    <w:rsid w:val="00E61F72"/>
    <w:rsid w:val="00E715F4"/>
    <w:rsid w:val="00EB0420"/>
    <w:rsid w:val="00EE2823"/>
    <w:rsid w:val="00EE2B33"/>
    <w:rsid w:val="00EF6462"/>
    <w:rsid w:val="00F33D9F"/>
    <w:rsid w:val="00F350D8"/>
    <w:rsid w:val="00F35527"/>
    <w:rsid w:val="00F5210A"/>
    <w:rsid w:val="00F52222"/>
    <w:rsid w:val="00F55E20"/>
    <w:rsid w:val="00F6780D"/>
    <w:rsid w:val="00F85DF9"/>
    <w:rsid w:val="00FA4802"/>
    <w:rsid w:val="00FC1097"/>
    <w:rsid w:val="00FC4E54"/>
    <w:rsid w:val="00FE1679"/>
    <w:rsid w:val="00FE2129"/>
    <w:rsid w:val="00FF3FAB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3382A4"/>
  <w15:chartTrackingRefBased/>
  <w15:docId w15:val="{EF2D8BF9-775E-1E4C-BDD8-F14362323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4F2"/>
    <w:rPr>
      <w:rFonts w:ascii="Times New Roman" w:eastAsiaTheme="minorEastAsia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3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13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130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130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130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130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130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130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130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13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13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13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13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13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13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13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13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13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13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1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130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13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1308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13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1308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13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13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13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1308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4B13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B1308"/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308"/>
    <w:rPr>
      <w:rFonts w:eastAsiaTheme="minorEastAsia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F76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76BB"/>
    <w:rPr>
      <w:rFonts w:ascii="Times New Roman" w:eastAsiaTheme="minorEastAsia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F76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76BB"/>
    <w:rPr>
      <w:rFonts w:ascii="Times New Roman" w:eastAsiaTheme="minorEastAsia" w:hAnsi="Times New Roman" w:cs="Times New Roman"/>
      <w:kern w:val="0"/>
      <w14:ligatures w14:val="none"/>
    </w:rPr>
  </w:style>
  <w:style w:type="paragraph" w:customStyle="1" w:styleId="EndNoteBibliographyTitle">
    <w:name w:val="EndNote Bibliography Title"/>
    <w:basedOn w:val="Normal"/>
    <w:link w:val="EndNoteBibliographyTitleChar"/>
    <w:rsid w:val="00447C89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447C89"/>
    <w:rPr>
      <w:rFonts w:ascii="Times New Roman" w:eastAsiaTheme="minorEastAsia" w:hAnsi="Times New Roman" w:cs="Times New Roman"/>
      <w:kern w:val="0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447C89"/>
    <w:pPr>
      <w:jc w:val="both"/>
    </w:pPr>
  </w:style>
  <w:style w:type="character" w:customStyle="1" w:styleId="EndNoteBibliographyChar">
    <w:name w:val="EndNote Bibliography Char"/>
    <w:basedOn w:val="DefaultParagraphFont"/>
    <w:link w:val="EndNoteBibliography"/>
    <w:rsid w:val="00447C89"/>
    <w:rPr>
      <w:rFonts w:ascii="Times New Roman" w:eastAsiaTheme="minorEastAsia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51734E"/>
    <w:rPr>
      <w:b/>
      <w:bCs/>
    </w:rPr>
  </w:style>
  <w:style w:type="character" w:styleId="Emphasis">
    <w:name w:val="Emphasis"/>
    <w:basedOn w:val="DefaultParagraphFont"/>
    <w:uiPriority w:val="20"/>
    <w:qFormat/>
    <w:rsid w:val="005173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Rahman, Mohammad Arif (NIH/NCI) [E]</dc:creator>
  <cp:keywords/>
  <dc:description/>
  <cp:lastModifiedBy>Rahman, Mohammad Arif (NIH/NCI) [E]</cp:lastModifiedBy>
  <cp:revision>103</cp:revision>
  <cp:lastPrinted>2024-10-17T19:43:00Z</cp:lastPrinted>
  <dcterms:created xsi:type="dcterms:W3CDTF">2024-06-06T18:47:00Z</dcterms:created>
  <dcterms:modified xsi:type="dcterms:W3CDTF">2024-10-21T18:38:00Z</dcterms:modified>
</cp:coreProperties>
</file>